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74" w:rsidRDefault="00CB7374" w:rsidP="00CB737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CB7374" w:rsidRDefault="00CB7374" w:rsidP="00CB7374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Dr. Emel YURTKULU</w:t>
      </w:r>
      <w:r>
        <w:tab/>
      </w:r>
      <w:r w:rsidR="004958A5">
        <w:t xml:space="preserve">          Prof. Füsun ÇAĞLAYAN</w:t>
      </w:r>
      <w:r>
        <w:tab/>
      </w:r>
    </w:p>
    <w:p w:rsidR="004958A5" w:rsidRDefault="00CB7374" w:rsidP="004958A5">
      <w:r>
        <w:t xml:space="preserve">Prof. Hayriye </w:t>
      </w:r>
      <w:r w:rsidR="001C2A99">
        <w:t>KOÇ BAŞARA</w:t>
      </w:r>
      <w:r>
        <w:tab/>
      </w:r>
      <w:r w:rsidR="004958A5">
        <w:t xml:space="preserve">          Doç. Didem ÖZHEKİM</w:t>
      </w:r>
    </w:p>
    <w:p w:rsidR="00CB7374" w:rsidRDefault="00CB7374" w:rsidP="004958A5">
      <w:pPr>
        <w:tabs>
          <w:tab w:val="center" w:pos="4536"/>
        </w:tabs>
      </w:pPr>
      <w:r>
        <w:t xml:space="preserve">Prof. </w:t>
      </w:r>
      <w:proofErr w:type="spellStart"/>
      <w:r>
        <w:t>Dr.Ayşe</w:t>
      </w:r>
      <w:proofErr w:type="spellEnd"/>
      <w:r>
        <w:t xml:space="preserve"> ÜSTÜN</w:t>
      </w:r>
      <w:r w:rsidR="004958A5">
        <w:tab/>
        <w:t xml:space="preserve">                         </w:t>
      </w:r>
      <w:proofErr w:type="spellStart"/>
      <w:proofErr w:type="gramStart"/>
      <w:r w:rsidR="004958A5">
        <w:t>Doç.Dr.Süreyya</w:t>
      </w:r>
      <w:proofErr w:type="spellEnd"/>
      <w:proofErr w:type="gramEnd"/>
      <w:r w:rsidR="004958A5">
        <w:t xml:space="preserve"> ÇAKIR</w:t>
      </w:r>
    </w:p>
    <w:p w:rsidR="00CB7374" w:rsidRDefault="00CB7374" w:rsidP="00CB7374">
      <w:r>
        <w:tab/>
      </w:r>
      <w:r>
        <w:tab/>
      </w:r>
      <w:r>
        <w:tab/>
      </w:r>
      <w:r w:rsidR="004958A5">
        <w:tab/>
        <w:t xml:space="preserve">                     </w:t>
      </w:r>
      <w:proofErr w:type="spellStart"/>
      <w:proofErr w:type="gramStart"/>
      <w:r w:rsidR="004958A5">
        <w:t>Yrd.Doç.Buket</w:t>
      </w:r>
      <w:proofErr w:type="spellEnd"/>
      <w:proofErr w:type="gramEnd"/>
      <w:r w:rsidR="004958A5">
        <w:t xml:space="preserve"> ACARTÜRK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CB7374" w:rsidRDefault="00CB7374" w:rsidP="00CB7374">
      <w:r>
        <w:tab/>
      </w:r>
      <w:r>
        <w:tab/>
      </w:r>
      <w:r>
        <w:tab/>
      </w:r>
    </w:p>
    <w:p w:rsidR="00CB7374" w:rsidRDefault="00CB7374" w:rsidP="00CB7374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CB7374" w:rsidRDefault="00CB7374" w:rsidP="00CB73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CB7374" w:rsidRDefault="00CB7374" w:rsidP="00CB737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CB7374" w:rsidRDefault="00CB7374" w:rsidP="00CB7374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CB7374" w:rsidTr="0082772A">
        <w:trPr>
          <w:trHeight w:val="182"/>
        </w:trPr>
        <w:tc>
          <w:tcPr>
            <w:tcW w:w="3070" w:type="dxa"/>
            <w:hideMark/>
          </w:tcPr>
          <w:p w:rsidR="00CB7374" w:rsidRDefault="00CB7374" w:rsidP="0082772A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CB7374" w:rsidRDefault="00CB7374" w:rsidP="0082772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CB7374" w:rsidRDefault="001C2A99" w:rsidP="001C2A99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13</w:t>
            </w:r>
            <w:r w:rsidR="00CB7374">
              <w:rPr>
                <w:b/>
                <w:color w:val="000000" w:themeColor="text1"/>
                <w:lang w:eastAsia="en-US"/>
              </w:rPr>
              <w:t>/0</w:t>
            </w:r>
            <w:r>
              <w:rPr>
                <w:b/>
                <w:color w:val="000000" w:themeColor="text1"/>
                <w:lang w:eastAsia="en-US"/>
              </w:rPr>
              <w:t>8</w:t>
            </w:r>
            <w:r w:rsidR="00CB7374">
              <w:rPr>
                <w:b/>
                <w:color w:val="000000" w:themeColor="text1"/>
                <w:lang w:eastAsia="en-US"/>
              </w:rPr>
              <w:t>/2014</w:t>
            </w:r>
            <w:proofErr w:type="gramEnd"/>
          </w:p>
        </w:tc>
      </w:tr>
      <w:tr w:rsidR="00CB7374" w:rsidTr="0082772A">
        <w:trPr>
          <w:trHeight w:val="182"/>
        </w:trPr>
        <w:tc>
          <w:tcPr>
            <w:tcW w:w="3070" w:type="dxa"/>
            <w:hideMark/>
          </w:tcPr>
          <w:p w:rsidR="00CB7374" w:rsidRDefault="00CB7374" w:rsidP="0082772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CB7374" w:rsidRDefault="00CB7374" w:rsidP="0082772A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CB7374" w:rsidRDefault="00CB7374" w:rsidP="0082772A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385</w:t>
            </w:r>
          </w:p>
        </w:tc>
      </w:tr>
    </w:tbl>
    <w:p w:rsidR="00CB7374" w:rsidRDefault="00CB7374" w:rsidP="00CB7374">
      <w:pPr>
        <w:jc w:val="center"/>
        <w:rPr>
          <w:color w:val="000000" w:themeColor="text1"/>
        </w:rPr>
      </w:pPr>
    </w:p>
    <w:p w:rsidR="00CB7374" w:rsidRDefault="001C2A99" w:rsidP="00CB737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13/08</w:t>
      </w:r>
      <w:r w:rsidR="00CB7374">
        <w:rPr>
          <w:color w:val="000000" w:themeColor="text1"/>
        </w:rPr>
        <w:t>/2014</w:t>
      </w:r>
      <w:proofErr w:type="gramEnd"/>
      <w:r w:rsidR="00CB7374">
        <w:rPr>
          <w:color w:val="000000" w:themeColor="text1"/>
        </w:rPr>
        <w:t xml:space="preserve"> tarihinde Dekan Vekili Yrd.</w:t>
      </w:r>
      <w:r>
        <w:rPr>
          <w:color w:val="000000" w:themeColor="text1"/>
        </w:rPr>
        <w:t xml:space="preserve"> </w:t>
      </w:r>
      <w:r w:rsidR="00CB7374">
        <w:rPr>
          <w:color w:val="000000" w:themeColor="text1"/>
        </w:rPr>
        <w:t>Doç.</w:t>
      </w:r>
      <w:r>
        <w:rPr>
          <w:color w:val="000000" w:themeColor="text1"/>
        </w:rPr>
        <w:t xml:space="preserve"> </w:t>
      </w:r>
      <w:r w:rsidR="00CB7374">
        <w:rPr>
          <w:color w:val="000000" w:themeColor="text1"/>
        </w:rPr>
        <w:t>Dr.</w:t>
      </w:r>
      <w:r>
        <w:rPr>
          <w:color w:val="000000" w:themeColor="text1"/>
        </w:rPr>
        <w:t xml:space="preserve"> </w:t>
      </w:r>
      <w:r w:rsidR="00CB7374">
        <w:rPr>
          <w:color w:val="000000" w:themeColor="text1"/>
        </w:rPr>
        <w:t>Emel YURTKULU başkanlığında toplanmış aşağıdaki kararlar alınmıştır.</w:t>
      </w:r>
    </w:p>
    <w:p w:rsidR="001C2A99" w:rsidRDefault="001C2A99" w:rsidP="001C2A99">
      <w:pPr>
        <w:jc w:val="both"/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</w:pPr>
      <w:r w:rsidRPr="001C2A99">
        <w:rPr>
          <w:rFonts w:eastAsiaTheme="minorHAnsi"/>
          <w:b/>
          <w:color w:val="000000"/>
          <w:spacing w:val="-2"/>
          <w:sz w:val="22"/>
          <w:szCs w:val="22"/>
          <w:shd w:val="clear" w:color="auto" w:fill="FFFFFF"/>
          <w:lang w:eastAsia="en-US"/>
        </w:rPr>
        <w:t>1-</w:t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Geleneksel Türk Sanatları Bölüm Başkanlığının </w:t>
      </w:r>
      <w:proofErr w:type="gramStart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05/08/2014</w:t>
      </w:r>
      <w:proofErr w:type="gramEnd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tarih ve 32424 sayılı yazısı okundu.</w:t>
      </w:r>
      <w:r w:rsidRPr="001C2A99">
        <w:rPr>
          <w:rFonts w:eastAsiaTheme="minorHAnsi"/>
          <w:color w:val="000000"/>
          <w:spacing w:val="-2"/>
          <w:sz w:val="22"/>
          <w:szCs w:val="22"/>
          <w:lang w:eastAsia="en-US"/>
        </w:rPr>
        <w:br/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Yapılan görüşmeler sonunda; Fakültemiz Geleneksel Türk Sanatları Bölümü öğrencilerinin, 2014-2015 Eğitim Öğretim Yılında </w:t>
      </w:r>
      <w:proofErr w:type="spellStart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Anasanat</w:t>
      </w:r>
      <w:proofErr w:type="spellEnd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Dalı seçim sonuçları öğrencilerin itiraz  dilekçeleri göre tekrar değerlendirilerek, aşağıdaki şekliyle uygun olduğuna ve gereği için Öğrenci İşleri Dairesi Başkanlığına arzına oybirliği ile karar verildi.</w:t>
      </w:r>
    </w:p>
    <w:p w:rsidR="00846AD0" w:rsidRPr="001C2A99" w:rsidRDefault="00846AD0" w:rsidP="001C2A99">
      <w:pPr>
        <w:jc w:val="both"/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tbl>
      <w:tblPr>
        <w:tblStyle w:val="TabloKlavuzu"/>
        <w:tblW w:w="0" w:type="auto"/>
        <w:tblInd w:w="313" w:type="dxa"/>
        <w:tblLook w:val="04A0" w:firstRow="1" w:lastRow="0" w:firstColumn="1" w:lastColumn="0" w:noHBand="0" w:noVBand="1"/>
      </w:tblPr>
      <w:tblGrid>
        <w:gridCol w:w="1426"/>
        <w:gridCol w:w="1701"/>
        <w:gridCol w:w="1843"/>
        <w:gridCol w:w="3502"/>
      </w:tblGrid>
      <w:tr w:rsidR="001C2A99" w:rsidRPr="001C2A99" w:rsidTr="00D61607">
        <w:tc>
          <w:tcPr>
            <w:tcW w:w="8472" w:type="dxa"/>
            <w:gridSpan w:val="4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ÖĞRENCİNİN</w:t>
            </w:r>
          </w:p>
        </w:tc>
      </w:tr>
      <w:tr w:rsidR="001C2A99" w:rsidRPr="001C2A99" w:rsidTr="00D61607">
        <w:tc>
          <w:tcPr>
            <w:tcW w:w="1426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NUMARASI </w:t>
            </w:r>
          </w:p>
        </w:tc>
        <w:tc>
          <w:tcPr>
            <w:tcW w:w="170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843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SOYADI</w:t>
            </w:r>
          </w:p>
        </w:tc>
        <w:tc>
          <w:tcPr>
            <w:tcW w:w="3502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YERLEŞTİĞİ ANASANAT DALI</w:t>
            </w:r>
          </w:p>
        </w:tc>
      </w:tr>
      <w:tr w:rsidR="001C2A99" w:rsidRPr="001C2A99" w:rsidTr="00D61607">
        <w:tc>
          <w:tcPr>
            <w:tcW w:w="1426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1207.11305</w:t>
            </w:r>
          </w:p>
        </w:tc>
        <w:tc>
          <w:tcPr>
            <w:tcW w:w="170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Esma</w:t>
            </w:r>
          </w:p>
        </w:tc>
        <w:tc>
          <w:tcPr>
            <w:tcW w:w="1843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ŞİMŞEK</w:t>
            </w:r>
          </w:p>
        </w:tc>
        <w:tc>
          <w:tcPr>
            <w:tcW w:w="3502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 xml:space="preserve">Tezhip </w:t>
            </w:r>
            <w:proofErr w:type="spellStart"/>
            <w:r w:rsidRPr="001C2A99">
              <w:rPr>
                <w:rFonts w:eastAsiaTheme="minorHAnsi"/>
                <w:sz w:val="22"/>
                <w:szCs w:val="22"/>
                <w:lang w:eastAsia="en-US"/>
              </w:rPr>
              <w:t>Anasanat</w:t>
            </w:r>
            <w:proofErr w:type="spellEnd"/>
            <w:r w:rsidRPr="001C2A99">
              <w:rPr>
                <w:rFonts w:eastAsiaTheme="minorHAnsi"/>
                <w:sz w:val="22"/>
                <w:szCs w:val="22"/>
                <w:lang w:eastAsia="en-US"/>
              </w:rPr>
              <w:t xml:space="preserve"> Dalı </w:t>
            </w:r>
          </w:p>
        </w:tc>
      </w:tr>
      <w:tr w:rsidR="001C2A99" w:rsidRPr="001C2A99" w:rsidTr="00D61607">
        <w:tc>
          <w:tcPr>
            <w:tcW w:w="1426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1207.11304</w:t>
            </w:r>
          </w:p>
        </w:tc>
        <w:tc>
          <w:tcPr>
            <w:tcW w:w="170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Zehra Begüm</w:t>
            </w:r>
          </w:p>
        </w:tc>
        <w:tc>
          <w:tcPr>
            <w:tcW w:w="1843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ÖZMİMAR</w:t>
            </w:r>
          </w:p>
        </w:tc>
        <w:tc>
          <w:tcPr>
            <w:tcW w:w="3502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 xml:space="preserve">Çini Tasarımı </w:t>
            </w:r>
            <w:proofErr w:type="spellStart"/>
            <w:r w:rsidRPr="001C2A99">
              <w:rPr>
                <w:rFonts w:eastAsiaTheme="minorHAnsi"/>
                <w:sz w:val="22"/>
                <w:szCs w:val="22"/>
                <w:lang w:eastAsia="en-US"/>
              </w:rPr>
              <w:t>Anasanat</w:t>
            </w:r>
            <w:proofErr w:type="spellEnd"/>
            <w:r w:rsidRPr="001C2A99">
              <w:rPr>
                <w:rFonts w:eastAsiaTheme="minorHAnsi"/>
                <w:sz w:val="22"/>
                <w:szCs w:val="22"/>
                <w:lang w:eastAsia="en-US"/>
              </w:rPr>
              <w:t xml:space="preserve"> Dalı</w:t>
            </w:r>
          </w:p>
        </w:tc>
      </w:tr>
    </w:tbl>
    <w:p w:rsidR="001C2A99" w:rsidRPr="001C2A99" w:rsidRDefault="001C2A99" w:rsidP="001C2A99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1C2A99" w:rsidRPr="001C2A99" w:rsidRDefault="001C2A99" w:rsidP="001C2A99">
      <w:pPr>
        <w:spacing w:after="200" w:line="276" w:lineRule="auto"/>
        <w:jc w:val="both"/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pacing w:val="-2"/>
          <w:sz w:val="22"/>
          <w:szCs w:val="22"/>
          <w:shd w:val="clear" w:color="auto" w:fill="FFFFFF"/>
          <w:lang w:eastAsia="en-US"/>
        </w:rPr>
        <w:t>2</w:t>
      </w:r>
      <w:r w:rsidRPr="001C2A99">
        <w:rPr>
          <w:rFonts w:eastAsiaTheme="minorHAnsi"/>
          <w:b/>
          <w:color w:val="000000"/>
          <w:spacing w:val="-2"/>
          <w:sz w:val="22"/>
          <w:szCs w:val="22"/>
          <w:shd w:val="clear" w:color="auto" w:fill="FFFFFF"/>
          <w:lang w:eastAsia="en-US"/>
        </w:rPr>
        <w:t>-</w:t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Geleneksel Türk Sanatları Bölüm Başkanlığının </w:t>
      </w:r>
      <w:proofErr w:type="gramStart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06/08/2014</w:t>
      </w:r>
      <w:proofErr w:type="gramEnd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tarih ve 32634 sayılı yazısı okundu.</w:t>
      </w:r>
      <w:r w:rsidRPr="001C2A99">
        <w:rPr>
          <w:rFonts w:eastAsiaTheme="minorHAnsi"/>
          <w:color w:val="000000"/>
          <w:spacing w:val="-2"/>
          <w:sz w:val="22"/>
          <w:szCs w:val="22"/>
          <w:lang w:eastAsia="en-US"/>
        </w:rPr>
        <w:br/>
      </w:r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Yapılan görüşmeler sonunda; Fakültemiz Geleneksel Türk Sanatları Bölümü Hat </w:t>
      </w:r>
      <w:proofErr w:type="spellStart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Anasanat</w:t>
      </w:r>
      <w:proofErr w:type="spellEnd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Dalı öğrencisi Sedat Süleyman </w:t>
      </w:r>
      <w:proofErr w:type="spellStart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>ŞAHİN’in</w:t>
      </w:r>
      <w:proofErr w:type="spellEnd"/>
      <w:r w:rsidRPr="001C2A99">
        <w:rPr>
          <w:rFonts w:eastAsiaTheme="minorHAnsi"/>
          <w:color w:val="000000"/>
          <w:spacing w:val="-2"/>
          <w:sz w:val="22"/>
          <w:szCs w:val="22"/>
          <w:shd w:val="clear" w:color="auto" w:fill="FFFFFF"/>
          <w:lang w:eastAsia="en-US"/>
        </w:rPr>
        <w:t xml:space="preserve"> staj komisyonu tarafından değerlendirilen staj notunun aşağıdaki şekliyle uygun olduğuna ve gereği için Öğrenci İşleri Dairesi Başkanlığına arzına oybirliği ile karar verildi.</w:t>
      </w:r>
    </w:p>
    <w:tbl>
      <w:tblPr>
        <w:tblStyle w:val="TabloKlavuzu"/>
        <w:tblpPr w:leftFromText="141" w:rightFromText="141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1426"/>
        <w:gridCol w:w="1701"/>
        <w:gridCol w:w="1843"/>
        <w:gridCol w:w="1231"/>
        <w:gridCol w:w="1231"/>
      </w:tblGrid>
      <w:tr w:rsidR="001C2A99" w:rsidRPr="001C2A99" w:rsidTr="001C2A99">
        <w:tc>
          <w:tcPr>
            <w:tcW w:w="7432" w:type="dxa"/>
            <w:gridSpan w:val="5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ÖĞRENCİNİN</w:t>
            </w:r>
          </w:p>
        </w:tc>
      </w:tr>
      <w:tr w:rsidR="001C2A99" w:rsidRPr="001C2A99" w:rsidTr="001C2A99">
        <w:tc>
          <w:tcPr>
            <w:tcW w:w="1426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NUMARASI </w:t>
            </w:r>
          </w:p>
        </w:tc>
        <w:tc>
          <w:tcPr>
            <w:tcW w:w="170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ADI</w:t>
            </w:r>
          </w:p>
        </w:tc>
        <w:tc>
          <w:tcPr>
            <w:tcW w:w="1843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SOYADI</w:t>
            </w:r>
          </w:p>
        </w:tc>
        <w:tc>
          <w:tcPr>
            <w:tcW w:w="123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I.STAJ</w:t>
            </w:r>
          </w:p>
        </w:tc>
        <w:tc>
          <w:tcPr>
            <w:tcW w:w="123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b/>
                <w:sz w:val="22"/>
                <w:szCs w:val="22"/>
                <w:lang w:eastAsia="en-US"/>
              </w:rPr>
              <w:t>II. STAJ</w:t>
            </w:r>
          </w:p>
        </w:tc>
      </w:tr>
      <w:tr w:rsidR="001C2A99" w:rsidRPr="001C2A99" w:rsidTr="001C2A99">
        <w:tc>
          <w:tcPr>
            <w:tcW w:w="1426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1007.10016</w:t>
            </w:r>
          </w:p>
        </w:tc>
        <w:tc>
          <w:tcPr>
            <w:tcW w:w="170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Sedat Süleyman</w:t>
            </w:r>
          </w:p>
        </w:tc>
        <w:tc>
          <w:tcPr>
            <w:tcW w:w="1843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ŞAHİN</w:t>
            </w:r>
          </w:p>
        </w:tc>
        <w:tc>
          <w:tcPr>
            <w:tcW w:w="123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BAŞARILI</w:t>
            </w:r>
          </w:p>
        </w:tc>
        <w:tc>
          <w:tcPr>
            <w:tcW w:w="1231" w:type="dxa"/>
          </w:tcPr>
          <w:p w:rsidR="001C2A99" w:rsidRPr="001C2A99" w:rsidRDefault="001C2A99" w:rsidP="001C2A9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A99">
              <w:rPr>
                <w:rFonts w:eastAsiaTheme="minorHAnsi"/>
                <w:sz w:val="22"/>
                <w:szCs w:val="22"/>
                <w:lang w:eastAsia="en-US"/>
              </w:rPr>
              <w:t>BAŞARILI</w:t>
            </w:r>
          </w:p>
        </w:tc>
      </w:tr>
    </w:tbl>
    <w:p w:rsidR="001C2A99" w:rsidRPr="001C2A99" w:rsidRDefault="001C2A99" w:rsidP="001C2A9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1C2A99" w:rsidRDefault="001C2A99">
      <w:pPr>
        <w:rPr>
          <w:b/>
        </w:rPr>
      </w:pPr>
    </w:p>
    <w:p w:rsidR="001C2A99" w:rsidRPr="001C2A99" w:rsidRDefault="001C2A99" w:rsidP="001C2A99"/>
    <w:p w:rsidR="001C2A99" w:rsidRDefault="001C2A99" w:rsidP="001C2A99"/>
    <w:p w:rsidR="001C2A99" w:rsidRPr="001C2A99" w:rsidRDefault="001C2A99" w:rsidP="001C2A99">
      <w:pPr>
        <w:jc w:val="both"/>
      </w:pPr>
      <w:r>
        <w:rPr>
          <w:b/>
        </w:rPr>
        <w:t>3</w:t>
      </w:r>
      <w:r w:rsidRPr="001C2A99">
        <w:rPr>
          <w:b/>
        </w:rPr>
        <w:t xml:space="preserve">- </w:t>
      </w:r>
      <w:r w:rsidRPr="001C2A99">
        <w:t xml:space="preserve">Resim </w:t>
      </w:r>
      <w:r>
        <w:t xml:space="preserve">Bölüm Başkanlığının </w:t>
      </w:r>
      <w:proofErr w:type="gramStart"/>
      <w:r>
        <w:t>11/08/2014</w:t>
      </w:r>
      <w:proofErr w:type="gramEnd"/>
      <w:r>
        <w:t xml:space="preserve"> tarih ve 33177</w:t>
      </w:r>
      <w:r w:rsidRPr="001C2A99">
        <w:t xml:space="preserve"> sayılı yazısı okundu.</w:t>
      </w:r>
    </w:p>
    <w:p w:rsidR="001C2A99" w:rsidRPr="001C2A99" w:rsidRDefault="001C2A99" w:rsidP="001C2A99">
      <w:pPr>
        <w:jc w:val="both"/>
      </w:pPr>
      <w:r w:rsidRPr="001C2A99">
        <w:t xml:space="preserve">Yapılan görüşmeler sonunda; Fakültemiz </w:t>
      </w:r>
      <w:r>
        <w:t>Resim Bölümü Öğretim Elemanı</w:t>
      </w:r>
      <w:r w:rsidRPr="001C2A99">
        <w:t xml:space="preserve"> </w:t>
      </w:r>
      <w:r>
        <w:t xml:space="preserve">Okt. </w:t>
      </w:r>
      <w:proofErr w:type="gramStart"/>
      <w:r>
        <w:t>Gülay İNCE’nin</w:t>
      </w:r>
      <w:r w:rsidRPr="001C2A99">
        <w:t>,</w:t>
      </w:r>
      <w:r>
        <w:t>20-30 Ağustos 2014 tarihleri arasında Makedonya/Üsküp’te yapılacak olan 9.uluslararası sanat kolonisine 19-30 Ağustos tarihleri arasında</w:t>
      </w:r>
      <w:r w:rsidRPr="001C2A99">
        <w:t>, 2547 Sayılı Yükseköğretim Kanununun 39. Maddesi ile Yurt İçinde ve Yurt Dışında Görevlendirmelerde Uyulacak Esaslara İlişkin Yönetmeliğin 2.maddesinin (a) fıkrası ve 3.maddesi gereğince, yolluksuz-</w:t>
      </w:r>
      <w:proofErr w:type="spellStart"/>
      <w:r w:rsidRPr="001C2A99">
        <w:t>ye</w:t>
      </w:r>
      <w:r>
        <w:t>vmiyesiz</w:t>
      </w:r>
      <w:proofErr w:type="spellEnd"/>
      <w:r>
        <w:t xml:space="preserve">, görevli-izinli olarak </w:t>
      </w:r>
      <w:r w:rsidRPr="001C2A99">
        <w:t>görevlendirilmesinin uygun olduğuna oybirliği ile karar verildi.</w:t>
      </w:r>
      <w:proofErr w:type="gramEnd"/>
    </w:p>
    <w:p w:rsidR="00D2755A" w:rsidRDefault="00D2755A" w:rsidP="001C2A99"/>
    <w:p w:rsidR="009E39B4" w:rsidRDefault="009E39B4" w:rsidP="001C2A99">
      <w:r w:rsidRPr="009E39B4">
        <w:rPr>
          <w:b/>
        </w:rPr>
        <w:t>4-</w:t>
      </w:r>
      <w:r>
        <w:t xml:space="preserve"> Gündemde başka madde olmadığından oturuma son verildi.</w:t>
      </w:r>
    </w:p>
    <w:p w:rsidR="009E39B4" w:rsidRDefault="009E39B4" w:rsidP="001C2A99"/>
    <w:p w:rsidR="009E39B4" w:rsidRDefault="009E39B4" w:rsidP="001C2A99"/>
    <w:p w:rsidR="009E39B4" w:rsidRDefault="009E39B4" w:rsidP="001C2A99"/>
    <w:p w:rsidR="00846AD0" w:rsidRDefault="00846AD0" w:rsidP="00846AD0">
      <w:pPr>
        <w:ind w:left="7788"/>
        <w:jc w:val="both"/>
        <w:rPr>
          <w:b/>
          <w:u w:val="single"/>
        </w:rPr>
      </w:pPr>
      <w:r>
        <w:rPr>
          <w:b/>
          <w:u w:val="single"/>
        </w:rPr>
        <w:lastRenderedPageBreak/>
        <w:t>FYK-38</w:t>
      </w:r>
      <w:r>
        <w:rPr>
          <w:b/>
          <w:u w:val="single"/>
        </w:rPr>
        <w:t>5</w:t>
      </w:r>
      <w:r>
        <w:rPr>
          <w:b/>
          <w:u w:val="single"/>
        </w:rPr>
        <w:t>/2</w:t>
      </w:r>
    </w:p>
    <w:p w:rsidR="00846AD0" w:rsidRDefault="00846AD0" w:rsidP="00846AD0">
      <w:pPr>
        <w:ind w:left="7788"/>
        <w:jc w:val="both"/>
        <w:rPr>
          <w:b/>
        </w:rPr>
      </w:pPr>
      <w:proofErr w:type="gramStart"/>
      <w:r>
        <w:rPr>
          <w:b/>
        </w:rPr>
        <w:t>13/08</w:t>
      </w:r>
      <w:r>
        <w:rPr>
          <w:b/>
        </w:rPr>
        <w:t>/2014</w:t>
      </w:r>
      <w:proofErr w:type="gramEnd"/>
    </w:p>
    <w:p w:rsidR="00846AD0" w:rsidRDefault="00846AD0" w:rsidP="001C2A99">
      <w:pPr>
        <w:rPr>
          <w:b/>
        </w:rPr>
      </w:pPr>
    </w:p>
    <w:p w:rsidR="00846AD0" w:rsidRDefault="00846AD0" w:rsidP="001C2A99">
      <w:pPr>
        <w:rPr>
          <w:b/>
        </w:rPr>
      </w:pPr>
    </w:p>
    <w:p w:rsidR="00846AD0" w:rsidRDefault="00846AD0" w:rsidP="001C2A99">
      <w:pPr>
        <w:rPr>
          <w:b/>
        </w:rPr>
      </w:pPr>
    </w:p>
    <w:p w:rsidR="00846AD0" w:rsidRDefault="00846AD0" w:rsidP="001C2A99">
      <w:pPr>
        <w:rPr>
          <w:b/>
        </w:rPr>
      </w:pPr>
    </w:p>
    <w:p w:rsidR="009E39B4" w:rsidRPr="009E39B4" w:rsidRDefault="009E39B4" w:rsidP="001C2A99">
      <w:pPr>
        <w:rPr>
          <w:b/>
        </w:rPr>
      </w:pPr>
      <w:proofErr w:type="spellStart"/>
      <w:proofErr w:type="gramStart"/>
      <w:r w:rsidRPr="009E39B4">
        <w:rPr>
          <w:b/>
        </w:rPr>
        <w:t>Yrd.Doç.Dr</w:t>
      </w:r>
      <w:proofErr w:type="gramEnd"/>
      <w:r w:rsidRPr="009E39B4">
        <w:rPr>
          <w:b/>
        </w:rPr>
        <w:t>.Emel</w:t>
      </w:r>
      <w:proofErr w:type="spellEnd"/>
      <w:r w:rsidRPr="009E39B4">
        <w:rPr>
          <w:b/>
        </w:rPr>
        <w:t xml:space="preserve"> YURTKULU YILMAZ</w:t>
      </w:r>
      <w:r w:rsidRPr="009E39B4">
        <w:rPr>
          <w:b/>
        </w:rPr>
        <w:tab/>
      </w:r>
      <w:r w:rsidRPr="009E39B4">
        <w:rPr>
          <w:b/>
        </w:rPr>
        <w:tab/>
        <w:t>Prof. Hayriye KOÇ BAŞARA</w:t>
      </w:r>
    </w:p>
    <w:p w:rsidR="009E39B4" w:rsidRPr="009E39B4" w:rsidRDefault="009E39B4" w:rsidP="001C2A99">
      <w:pPr>
        <w:rPr>
          <w:b/>
        </w:rPr>
      </w:pPr>
      <w:r w:rsidRPr="009E39B4">
        <w:rPr>
          <w:b/>
        </w:rPr>
        <w:t>DEKAN V.</w:t>
      </w:r>
      <w:r w:rsidRPr="009E39B4">
        <w:rPr>
          <w:b/>
        </w:rPr>
        <w:tab/>
      </w:r>
      <w:r w:rsidRPr="009E39B4">
        <w:rPr>
          <w:b/>
        </w:rPr>
        <w:tab/>
      </w:r>
      <w:r w:rsidRPr="009E39B4">
        <w:rPr>
          <w:b/>
        </w:rPr>
        <w:tab/>
      </w:r>
      <w:r w:rsidRPr="009E39B4">
        <w:rPr>
          <w:b/>
        </w:rPr>
        <w:tab/>
      </w:r>
      <w:r w:rsidRPr="009E39B4">
        <w:rPr>
          <w:b/>
        </w:rPr>
        <w:tab/>
      </w:r>
      <w:r w:rsidRPr="009E39B4">
        <w:rPr>
          <w:b/>
        </w:rPr>
        <w:tab/>
      </w:r>
      <w:r w:rsidRPr="009E39B4">
        <w:rPr>
          <w:b/>
        </w:rPr>
        <w:tab/>
        <w:t>ÜYE</w:t>
      </w:r>
    </w:p>
    <w:p w:rsidR="009E39B4" w:rsidRPr="009E39B4" w:rsidRDefault="009E39B4" w:rsidP="001C2A99">
      <w:pPr>
        <w:rPr>
          <w:b/>
        </w:rPr>
      </w:pPr>
    </w:p>
    <w:p w:rsidR="009E39B4" w:rsidRPr="009E39B4" w:rsidRDefault="009E39B4" w:rsidP="001C2A99">
      <w:pPr>
        <w:rPr>
          <w:b/>
        </w:rPr>
      </w:pPr>
    </w:p>
    <w:p w:rsidR="009E39B4" w:rsidRPr="009E39B4" w:rsidRDefault="009E39B4" w:rsidP="001C2A99">
      <w:pPr>
        <w:rPr>
          <w:b/>
        </w:rPr>
      </w:pPr>
    </w:p>
    <w:p w:rsidR="009E39B4" w:rsidRPr="009E39B4" w:rsidRDefault="009E39B4" w:rsidP="001C2A99">
      <w:pPr>
        <w:rPr>
          <w:b/>
        </w:rPr>
      </w:pPr>
      <w:r w:rsidRPr="009E39B4">
        <w:rPr>
          <w:b/>
        </w:rPr>
        <w:t>Prof. Dr. Ayşe ÜSTÜN</w:t>
      </w:r>
    </w:p>
    <w:p w:rsidR="009E39B4" w:rsidRPr="009E39B4" w:rsidRDefault="009E39B4" w:rsidP="001C2A99">
      <w:pPr>
        <w:rPr>
          <w:b/>
        </w:rPr>
      </w:pPr>
      <w:r w:rsidRPr="009E39B4">
        <w:rPr>
          <w:b/>
        </w:rPr>
        <w:t>ÜYE</w:t>
      </w:r>
    </w:p>
    <w:sectPr w:rsidR="009E39B4" w:rsidRPr="009E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4"/>
    <w:rsid w:val="001C2A99"/>
    <w:rsid w:val="004958A5"/>
    <w:rsid w:val="00846AD0"/>
    <w:rsid w:val="009E39B4"/>
    <w:rsid w:val="00CB7374"/>
    <w:rsid w:val="00D2755A"/>
    <w:rsid w:val="00DB0E34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</cp:revision>
  <cp:lastPrinted>2014-10-15T07:55:00Z</cp:lastPrinted>
  <dcterms:created xsi:type="dcterms:W3CDTF">2014-08-11T08:18:00Z</dcterms:created>
  <dcterms:modified xsi:type="dcterms:W3CDTF">2014-10-15T08:16:00Z</dcterms:modified>
</cp:coreProperties>
</file>