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B6" w:rsidRDefault="00D40CB6" w:rsidP="00D40CB6">
      <w:pPr>
        <w:rPr>
          <w:b/>
        </w:rPr>
      </w:pPr>
      <w:r>
        <w:rPr>
          <w:b/>
          <w:u w:val="single"/>
        </w:rPr>
        <w:t>TOPLANTIYA KATILANLAR</w:t>
      </w:r>
      <w:r>
        <w:rPr>
          <w:b/>
        </w:rPr>
        <w:tab/>
      </w:r>
      <w:r>
        <w:rPr>
          <w:b/>
        </w:rPr>
        <w:tab/>
      </w:r>
      <w:r>
        <w:rPr>
          <w:b/>
        </w:rPr>
        <w:tab/>
      </w:r>
      <w:r>
        <w:rPr>
          <w:b/>
          <w:u w:val="single"/>
        </w:rPr>
        <w:t>TOPLANTIYA KATILMAYANLAR</w:t>
      </w:r>
    </w:p>
    <w:p w:rsidR="00403912" w:rsidRDefault="00D40CB6" w:rsidP="00403912">
      <w:r>
        <w:t>Prof. Hayriye KOÇ BAŞARA</w:t>
      </w:r>
      <w:r>
        <w:tab/>
      </w:r>
      <w:r>
        <w:tab/>
      </w:r>
      <w:r w:rsidR="00403912">
        <w:tab/>
        <w:t>Prof. Dr. Ayşe ÜSTÜN</w:t>
      </w:r>
      <w:r w:rsidR="00403912">
        <w:tab/>
      </w:r>
    </w:p>
    <w:p w:rsidR="00BA780C" w:rsidRDefault="00762636" w:rsidP="00BA780C">
      <w:proofErr w:type="gramStart"/>
      <w:r>
        <w:t>Prof. Dr. Süreyya ÇAKIR</w:t>
      </w:r>
      <w:r w:rsidR="00D40CB6">
        <w:tab/>
      </w:r>
      <w:r w:rsidR="00D40CB6">
        <w:tab/>
      </w:r>
      <w:r w:rsidR="00BA780C">
        <w:tab/>
      </w:r>
      <w:r w:rsidR="00BA780C">
        <w:tab/>
        <w:t xml:space="preserve">Yrd. </w:t>
      </w:r>
      <w:proofErr w:type="gramEnd"/>
      <w:r w:rsidR="00BA780C">
        <w:t>Doç. Suzan ORHAN</w:t>
      </w:r>
    </w:p>
    <w:p w:rsidR="00D40CB6" w:rsidRDefault="00D40CB6" w:rsidP="00D40CB6">
      <w:r>
        <w:t>Prof. Didem ATİŞ</w:t>
      </w:r>
      <w:r>
        <w:tab/>
      </w:r>
      <w:r>
        <w:tab/>
      </w:r>
      <w:r>
        <w:tab/>
      </w:r>
      <w:r>
        <w:tab/>
      </w:r>
      <w:r>
        <w:tab/>
      </w:r>
      <w:r>
        <w:tab/>
      </w:r>
    </w:p>
    <w:p w:rsidR="00D40CB6" w:rsidRDefault="00D40CB6" w:rsidP="00D40CB6">
      <w:proofErr w:type="spellStart"/>
      <w:proofErr w:type="gramStart"/>
      <w:r>
        <w:t>Doç.Dr.Tahsin</w:t>
      </w:r>
      <w:proofErr w:type="spellEnd"/>
      <w:proofErr w:type="gramEnd"/>
      <w:r>
        <w:t xml:space="preserve"> TURGAY</w:t>
      </w:r>
    </w:p>
    <w:p w:rsidR="00762636" w:rsidRDefault="00762636" w:rsidP="00D40CB6">
      <w:r>
        <w:t>Doç. Buket ACARTÜRK</w:t>
      </w:r>
    </w:p>
    <w:p w:rsidR="00D40CB6" w:rsidRDefault="00D40CB6" w:rsidP="00D40CB6">
      <w:pPr>
        <w:rPr>
          <w:b/>
        </w:rPr>
      </w:pPr>
      <w:r>
        <w:tab/>
      </w:r>
      <w:r>
        <w:tab/>
      </w:r>
      <w:r>
        <w:tab/>
      </w:r>
      <w:r>
        <w:tab/>
      </w:r>
      <w:r>
        <w:rPr>
          <w:b/>
        </w:rPr>
        <w:t>SAKARYA ÜNİVERSİTESİ</w:t>
      </w:r>
    </w:p>
    <w:p w:rsidR="00D40CB6" w:rsidRDefault="00D40CB6" w:rsidP="00D40CB6">
      <w:pPr>
        <w:jc w:val="center"/>
        <w:rPr>
          <w:b/>
        </w:rPr>
      </w:pPr>
      <w:r>
        <w:rPr>
          <w:b/>
        </w:rPr>
        <w:t>SANAT TASARIM VE MİMARLIK FAKÜLTESİ</w:t>
      </w:r>
    </w:p>
    <w:p w:rsidR="00D40CB6" w:rsidRDefault="00D40CB6" w:rsidP="00D40CB6">
      <w:pPr>
        <w:jc w:val="center"/>
        <w:rPr>
          <w:b/>
        </w:rPr>
      </w:pPr>
      <w:r>
        <w:rPr>
          <w:b/>
        </w:rPr>
        <w:t>FAKÜLTE YÖNETİM KURULU TOPLANTI TUTANAĞI</w:t>
      </w:r>
    </w:p>
    <w:p w:rsidR="00D40CB6" w:rsidRDefault="00D40CB6" w:rsidP="00D40CB6">
      <w:pPr>
        <w:jc w:val="both"/>
      </w:pPr>
    </w:p>
    <w:p w:rsidR="00D40CB6" w:rsidRDefault="00D40CB6" w:rsidP="00D40CB6">
      <w:pPr>
        <w:jc w:val="both"/>
        <w:rPr>
          <w:b/>
        </w:rPr>
      </w:pPr>
      <w:r>
        <w:rPr>
          <w:b/>
        </w:rPr>
        <w:t>TOPLANTI TARİHİ</w:t>
      </w:r>
      <w:r>
        <w:rPr>
          <w:b/>
        </w:rPr>
        <w:tab/>
        <w:t>:</w:t>
      </w:r>
      <w:proofErr w:type="gramStart"/>
      <w:r>
        <w:rPr>
          <w:b/>
        </w:rPr>
        <w:t>25/01/2017</w:t>
      </w:r>
      <w:proofErr w:type="gramEnd"/>
    </w:p>
    <w:p w:rsidR="00D40CB6" w:rsidRDefault="00D40CB6" w:rsidP="00D40CB6">
      <w:pPr>
        <w:jc w:val="both"/>
        <w:rPr>
          <w:b/>
        </w:rPr>
      </w:pPr>
      <w:proofErr w:type="gramStart"/>
      <w:r>
        <w:rPr>
          <w:b/>
        </w:rPr>
        <w:t>TOPLANTI  NO</w:t>
      </w:r>
      <w:proofErr w:type="gramEnd"/>
      <w:r>
        <w:rPr>
          <w:b/>
        </w:rPr>
        <w:tab/>
      </w:r>
      <w:r>
        <w:rPr>
          <w:b/>
        </w:rPr>
        <w:tab/>
        <w:t>: 478</w:t>
      </w:r>
    </w:p>
    <w:p w:rsidR="00D40CB6" w:rsidRDefault="00D40CB6" w:rsidP="00D40CB6">
      <w:pPr>
        <w:jc w:val="both"/>
      </w:pPr>
    </w:p>
    <w:p w:rsidR="00D40CB6" w:rsidRDefault="00D40CB6" w:rsidP="00D40CB6">
      <w:pPr>
        <w:jc w:val="both"/>
      </w:pPr>
      <w:r>
        <w:t xml:space="preserve">Fakülte Yönetim Kurulu </w:t>
      </w:r>
      <w:r>
        <w:rPr>
          <w:b/>
        </w:rPr>
        <w:t>25/01/2017</w:t>
      </w:r>
      <w:r>
        <w:t xml:space="preserve"> tarihinde Dekan V. Prof. Hayriye KOÇ BAŞARA </w:t>
      </w:r>
      <w:proofErr w:type="gramStart"/>
      <w:r>
        <w:t>başkanlığında  toplanmış</w:t>
      </w:r>
      <w:proofErr w:type="gramEnd"/>
      <w:r>
        <w:t xml:space="preserve">  aşağıdaki kararlar alınmıştır.</w:t>
      </w:r>
    </w:p>
    <w:p w:rsidR="00FF6F3E" w:rsidRDefault="00FF6F3E"/>
    <w:p w:rsidR="00A87B07" w:rsidRDefault="00A87B07" w:rsidP="00A87B07">
      <w:pPr>
        <w:jc w:val="both"/>
      </w:pPr>
      <w:r w:rsidRPr="00A87B07">
        <w:rPr>
          <w:b/>
        </w:rPr>
        <w:t>1-</w:t>
      </w:r>
      <w:r w:rsidR="009A4DB3">
        <w:t>23/12/</w:t>
      </w:r>
      <w:bookmarkStart w:id="0" w:name="_GoBack"/>
      <w:bookmarkEnd w:id="0"/>
      <w:r>
        <w:t xml:space="preserve">/2016 tarihinde </w:t>
      </w:r>
      <w:hyperlink r:id="rId6" w:history="1">
        <w:r>
          <w:rPr>
            <w:rStyle w:val="Kpr"/>
          </w:rPr>
          <w:t>http://ilan.sakarya.edu.tr/tr</w:t>
        </w:r>
      </w:hyperlink>
      <w:r>
        <w:t xml:space="preserve"> internet adresinde yayımlanan Fakültemiz Akademik Personel Alımı ile ilgili ilan görüşmeye açıldı.</w:t>
      </w:r>
    </w:p>
    <w:p w:rsidR="00A87B07" w:rsidRDefault="00A87B07" w:rsidP="00A87B07">
      <w:pPr>
        <w:ind w:left="360"/>
        <w:jc w:val="both"/>
      </w:pPr>
    </w:p>
    <w:p w:rsidR="00D12ADF" w:rsidRPr="00ED4682" w:rsidRDefault="00A87B07" w:rsidP="00D12ADF">
      <w:pPr>
        <w:pStyle w:val="ListeParagraf"/>
        <w:ind w:left="0"/>
        <w:jc w:val="both"/>
      </w:pPr>
      <w:r>
        <w:t xml:space="preserve">Yapılan görüşmeler sonunda; 23/12/2016 tarihinde </w:t>
      </w:r>
      <w:hyperlink r:id="rId7" w:history="1">
        <w:r>
          <w:rPr>
            <w:rStyle w:val="Kpr"/>
          </w:rPr>
          <w:t>http://ilan.sakarya.edu.tr/tr</w:t>
        </w:r>
      </w:hyperlink>
      <w:r>
        <w:t xml:space="preserve"> internet adresinde yayımlanan Fakültemiz Seramik ve Cam </w:t>
      </w:r>
      <w:proofErr w:type="gramStart"/>
      <w:r>
        <w:t>Bölümü  için</w:t>
      </w:r>
      <w:proofErr w:type="gramEnd"/>
      <w:r>
        <w:t xml:space="preserve"> ilan edilen Yardımcı Doçent kadrosuna başvuran aday  </w:t>
      </w:r>
      <w:proofErr w:type="spellStart"/>
      <w:r>
        <w:t>Arş,Gör.Pınar</w:t>
      </w:r>
      <w:proofErr w:type="spellEnd"/>
      <w:r>
        <w:t xml:space="preserve"> </w:t>
      </w:r>
      <w:proofErr w:type="spellStart"/>
      <w:r>
        <w:t>GÜZELGÜN’ün</w:t>
      </w:r>
      <w:proofErr w:type="spellEnd"/>
      <w:r>
        <w:t>;</w:t>
      </w:r>
      <w:r w:rsidR="00D12ADF">
        <w:t xml:space="preserve"> </w:t>
      </w:r>
      <w:r w:rsidR="00D12ADF" w:rsidRPr="00ED4682">
        <w:t>yapılan “Yabancı Dil Sınavı” ve “Deneme Dersi” anlatımında Jüri Üyeleri</w:t>
      </w:r>
      <w:r w:rsidR="00D12ADF">
        <w:t xml:space="preserve"> tarafından başarılı bulunması</w:t>
      </w:r>
      <w:r w:rsidR="00D12ADF" w:rsidRPr="00ED4682">
        <w:t xml:space="preserve"> üzerine;  2547 Sayılı Kanunun 23.maddesi ve Öğretim Üyeliğine Yükseltilme ve Atanma Yönetmeliği’nin 8. Maddesi gereğince “Bilim </w:t>
      </w:r>
      <w:proofErr w:type="spellStart"/>
      <w:proofErr w:type="gramStart"/>
      <w:r w:rsidR="00D12ADF" w:rsidRPr="00ED4682">
        <w:t>Jürisi”nin</w:t>
      </w:r>
      <w:proofErr w:type="spellEnd"/>
      <w:r w:rsidR="00D12ADF" w:rsidRPr="00ED4682">
        <w:t xml:space="preserve">  aşağıdaki</w:t>
      </w:r>
      <w:proofErr w:type="gramEnd"/>
      <w:r w:rsidR="00D12ADF" w:rsidRPr="00ED4682">
        <w:t xml:space="preserve"> isimlerden oluşturulmasının uygun olduğuna oybirliği karar verildi.  </w:t>
      </w:r>
    </w:p>
    <w:p w:rsidR="00D12ADF" w:rsidRDefault="00D12ADF" w:rsidP="00D12ADF">
      <w:pPr>
        <w:rPr>
          <w:b/>
          <w:u w:val="single"/>
        </w:rPr>
      </w:pPr>
    </w:p>
    <w:p w:rsidR="00D12ADF" w:rsidRPr="00ED4682" w:rsidRDefault="00D12ADF" w:rsidP="00D12ADF">
      <w:pPr>
        <w:rPr>
          <w:b/>
          <w:u w:val="single"/>
        </w:rPr>
      </w:pPr>
      <w:r w:rsidRPr="00ED4682">
        <w:rPr>
          <w:b/>
          <w:u w:val="single"/>
        </w:rPr>
        <w:t>BİLİM JÜRİSİ:</w:t>
      </w:r>
    </w:p>
    <w:p w:rsidR="00172EBD" w:rsidRPr="00172EBD" w:rsidRDefault="00172EBD" w:rsidP="00172EBD">
      <w:pPr>
        <w:pStyle w:val="ListeParagraf"/>
        <w:numPr>
          <w:ilvl w:val="0"/>
          <w:numId w:val="2"/>
        </w:numPr>
      </w:pPr>
      <w:r w:rsidRPr="00172EBD">
        <w:rPr>
          <w:bCs/>
        </w:rPr>
        <w:t xml:space="preserve">Prof. Hayriye KOÇ BAŞARA </w:t>
      </w:r>
      <w:r>
        <w:rPr>
          <w:bCs/>
        </w:rPr>
        <w:t>(SAÜ</w:t>
      </w:r>
      <w:r w:rsidRPr="00172EBD">
        <w:rPr>
          <w:bCs/>
        </w:rPr>
        <w:t xml:space="preserve"> Sanat Tasarım ve Mimarlık Fakültesi </w:t>
      </w:r>
      <w:r>
        <w:rPr>
          <w:bCs/>
        </w:rPr>
        <w:t>Dekanı)</w:t>
      </w:r>
    </w:p>
    <w:p w:rsidR="002E0DA3" w:rsidRPr="002E0DA3" w:rsidRDefault="002E0DA3" w:rsidP="002E0DA3">
      <w:pPr>
        <w:pStyle w:val="ListeParagraf"/>
        <w:numPr>
          <w:ilvl w:val="0"/>
          <w:numId w:val="2"/>
        </w:numPr>
        <w:rPr>
          <w:sz w:val="20"/>
          <w:szCs w:val="20"/>
        </w:rPr>
      </w:pPr>
      <w:proofErr w:type="spellStart"/>
      <w:r w:rsidRPr="002E0DA3">
        <w:rPr>
          <w:bCs/>
          <w:sz w:val="20"/>
          <w:szCs w:val="20"/>
        </w:rPr>
        <w:t>Prof</w:t>
      </w:r>
      <w:proofErr w:type="spellEnd"/>
      <w:r w:rsidRPr="002E0DA3">
        <w:rPr>
          <w:bCs/>
          <w:sz w:val="20"/>
          <w:szCs w:val="20"/>
        </w:rPr>
        <w:t xml:space="preserve"> Halil YOLERİ </w:t>
      </w:r>
      <w:proofErr w:type="gramStart"/>
      <w:r w:rsidRPr="002E0DA3">
        <w:rPr>
          <w:bCs/>
          <w:sz w:val="20"/>
          <w:szCs w:val="20"/>
        </w:rPr>
        <w:t>(</w:t>
      </w:r>
      <w:proofErr w:type="gramEnd"/>
      <w:r w:rsidRPr="002E0DA3">
        <w:rPr>
          <w:bCs/>
          <w:sz w:val="20"/>
          <w:szCs w:val="20"/>
        </w:rPr>
        <w:t>Dokuz Eylül Üniversitesi Güzel Sanatlar Fakültesi Seramik ve Cam Bölümü</w:t>
      </w:r>
    </w:p>
    <w:p w:rsidR="002E0DA3" w:rsidRDefault="002E0DA3" w:rsidP="002E0DA3">
      <w:pPr>
        <w:pStyle w:val="ListeParagraf"/>
        <w:ind w:left="1428" w:firstLine="696"/>
        <w:rPr>
          <w:bCs/>
          <w:sz w:val="20"/>
          <w:szCs w:val="20"/>
        </w:rPr>
      </w:pPr>
      <w:r w:rsidRPr="002E0DA3">
        <w:rPr>
          <w:bCs/>
          <w:sz w:val="20"/>
          <w:szCs w:val="20"/>
        </w:rPr>
        <w:t>Öğretim Üyesi</w:t>
      </w:r>
    </w:p>
    <w:p w:rsidR="002E0DA3" w:rsidRPr="00376563" w:rsidRDefault="002E0DA3" w:rsidP="002E0DA3">
      <w:pPr>
        <w:pStyle w:val="ListeParagraf"/>
        <w:numPr>
          <w:ilvl w:val="0"/>
          <w:numId w:val="2"/>
        </w:numPr>
        <w:rPr>
          <w:sz w:val="20"/>
          <w:szCs w:val="20"/>
        </w:rPr>
      </w:pPr>
      <w:r w:rsidRPr="00376563">
        <w:rPr>
          <w:bCs/>
          <w:sz w:val="22"/>
          <w:szCs w:val="22"/>
        </w:rPr>
        <w:t>Doç. Buket ACARTÜRK</w:t>
      </w:r>
      <w:r>
        <w:rPr>
          <w:bCs/>
          <w:sz w:val="20"/>
          <w:szCs w:val="20"/>
        </w:rPr>
        <w:t xml:space="preserve"> </w:t>
      </w:r>
      <w:proofErr w:type="gramStart"/>
      <w:r>
        <w:rPr>
          <w:bCs/>
          <w:sz w:val="20"/>
          <w:szCs w:val="20"/>
        </w:rPr>
        <w:t>(</w:t>
      </w:r>
      <w:proofErr w:type="gramEnd"/>
      <w:r>
        <w:rPr>
          <w:bCs/>
          <w:sz w:val="20"/>
          <w:szCs w:val="20"/>
        </w:rPr>
        <w:t>SAÜ Sanat Tasarım ve Mimarlık Fak. Seramik ve Cam Bölüm Başkanı</w:t>
      </w:r>
      <w:proofErr w:type="gramStart"/>
      <w:r>
        <w:rPr>
          <w:bCs/>
          <w:sz w:val="20"/>
          <w:szCs w:val="20"/>
        </w:rPr>
        <w:t>)</w:t>
      </w:r>
      <w:proofErr w:type="gramEnd"/>
    </w:p>
    <w:p w:rsidR="00376563" w:rsidRDefault="00376563" w:rsidP="00376563">
      <w:pPr>
        <w:rPr>
          <w:sz w:val="20"/>
          <w:szCs w:val="20"/>
        </w:rPr>
      </w:pPr>
    </w:p>
    <w:p w:rsidR="00376563" w:rsidRPr="00376563" w:rsidRDefault="00376563" w:rsidP="00376563">
      <w:pPr>
        <w:jc w:val="both"/>
      </w:pPr>
      <w:r w:rsidRPr="00376563">
        <w:rPr>
          <w:b/>
        </w:rPr>
        <w:t>2-</w:t>
      </w:r>
      <w:r>
        <w:rPr>
          <w:b/>
        </w:rPr>
        <w:t xml:space="preserve"> </w:t>
      </w:r>
      <w:r w:rsidRPr="00376563">
        <w:t>2016-2017 Eğitim Öğretim Yılı Güz Yarıyılı Fakültemiz Bölümleri Tek Ders Sınavları hususu görüşmeye açıldı.</w:t>
      </w:r>
    </w:p>
    <w:p w:rsidR="00376563" w:rsidRPr="00376563" w:rsidRDefault="00376563" w:rsidP="00376563">
      <w:pPr>
        <w:jc w:val="both"/>
      </w:pPr>
      <w:r w:rsidRPr="00376563">
        <w:t>Yapılan görüşmeler sonunda; 2016-2017 Eğitim Öğretim Yılı Fakültemiz Bölümleri Tek Ders Sınav sonuçlarının ekteki şekliyle uygun olduğuna ve gereği için Öğrenci İşleri Dairesi Başkanlığına arzına oybirliği ile karar verildi.</w:t>
      </w:r>
    </w:p>
    <w:p w:rsidR="005D0EE2" w:rsidRDefault="005D0EE2" w:rsidP="00376563">
      <w:pPr>
        <w:jc w:val="both"/>
      </w:pPr>
    </w:p>
    <w:p w:rsidR="00403912" w:rsidRDefault="00403912" w:rsidP="00403912">
      <w:pPr>
        <w:jc w:val="both"/>
      </w:pPr>
      <w:r>
        <w:rPr>
          <w:b/>
        </w:rPr>
        <w:t>3</w:t>
      </w:r>
      <w:r w:rsidRPr="00F77C63">
        <w:rPr>
          <w:b/>
        </w:rPr>
        <w:t>-</w:t>
      </w:r>
      <w:r w:rsidRPr="009F40D7">
        <w:t xml:space="preserve"> </w:t>
      </w:r>
      <w:r>
        <w:t xml:space="preserve">Geleneksel Türk Sanatları Bölüm Başkanlığının </w:t>
      </w:r>
      <w:proofErr w:type="gramStart"/>
      <w:r>
        <w:t>24/01/2017</w:t>
      </w:r>
      <w:proofErr w:type="gramEnd"/>
      <w:r>
        <w:t xml:space="preserve"> tarih ve 302.04.09-E.3716 sayılı yazısı okundu.</w:t>
      </w:r>
    </w:p>
    <w:p w:rsidR="00403912" w:rsidRPr="00376563" w:rsidRDefault="00403912" w:rsidP="00403912">
      <w:pPr>
        <w:jc w:val="both"/>
      </w:pPr>
      <w:r>
        <w:t xml:space="preserve">Yapılan görüşmeler sonunda; Fakültemiz Geleneksel Türk Sanatları Bölümü </w:t>
      </w:r>
      <w:r w:rsidRPr="009F40D7">
        <w:t xml:space="preserve">Halı Kilim </w:t>
      </w:r>
      <w:proofErr w:type="spellStart"/>
      <w:r w:rsidRPr="009F40D7">
        <w:t>Anasana</w:t>
      </w:r>
      <w:r>
        <w:t>t</w:t>
      </w:r>
      <w:proofErr w:type="spellEnd"/>
      <w:r>
        <w:t xml:space="preserve"> Dalı </w:t>
      </w:r>
      <w:proofErr w:type="gramStart"/>
      <w:r w:rsidRPr="0076434E">
        <w:rPr>
          <w:b/>
        </w:rPr>
        <w:t>1207.11028</w:t>
      </w:r>
      <w:proofErr w:type="gramEnd"/>
      <w:r>
        <w:t xml:space="preserve"> numaralı öğrencisi</w:t>
      </w:r>
      <w:r w:rsidRPr="009F40D7">
        <w:t xml:space="preserve"> </w:t>
      </w:r>
      <w:proofErr w:type="spellStart"/>
      <w:r w:rsidRPr="0076434E">
        <w:rPr>
          <w:b/>
        </w:rPr>
        <w:t>Ervanur</w:t>
      </w:r>
      <w:proofErr w:type="spellEnd"/>
      <w:r w:rsidRPr="0076434E">
        <w:rPr>
          <w:b/>
        </w:rPr>
        <w:t xml:space="preserve"> ODABAŞ</w:t>
      </w:r>
      <w:r w:rsidRPr="009F40D7">
        <w:t xml:space="preserve">, 19/01/2017 tarihinde </w:t>
      </w:r>
      <w:r>
        <w:t>"</w:t>
      </w:r>
      <w:r>
        <w:rPr>
          <w:b/>
        </w:rPr>
        <w:t>TEZ 102 Türk Desenleri II(2+4)</w:t>
      </w:r>
      <w:r>
        <w:t>"</w:t>
      </w:r>
      <w:r w:rsidRPr="009F40D7">
        <w:t xml:space="preserve"> dersinden tek ders sınavına </w:t>
      </w:r>
      <w:r>
        <w:t>girmesi için dilekçesini vermiş;</w:t>
      </w:r>
      <w:r w:rsidRPr="009F40D7">
        <w:t xml:space="preserve"> fakat dilekçenin bölüme makul bir ta</w:t>
      </w:r>
      <w:r>
        <w:t>rihte verilmemesi nedeniyle, 23/01/</w:t>
      </w:r>
      <w:r w:rsidRPr="009F40D7">
        <w:t>201</w:t>
      </w:r>
      <w:r>
        <w:t>7</w:t>
      </w:r>
      <w:r w:rsidRPr="009F40D7">
        <w:t xml:space="preserve"> tarihinde yapılan bölüm kurulunda konu görüşülerek, öğrencinin mağduriyetinin giderilmesi açısından, </w:t>
      </w:r>
      <w:r>
        <w:t xml:space="preserve">dersin hocası </w:t>
      </w:r>
      <w:proofErr w:type="spellStart"/>
      <w:r>
        <w:t>Öğr</w:t>
      </w:r>
      <w:proofErr w:type="spellEnd"/>
      <w:r>
        <w:t xml:space="preserve">. Gör. Zeynep ÇAVDAR </w:t>
      </w:r>
      <w:proofErr w:type="spellStart"/>
      <w:r>
        <w:t>KALELİ’nin</w:t>
      </w:r>
      <w:proofErr w:type="spellEnd"/>
      <w:r>
        <w:t xml:space="preserve"> yapmış olduğu tek ders sınavı değerlendirme sonucu </w:t>
      </w:r>
      <w:r w:rsidRPr="00F77C63">
        <w:rPr>
          <w:b/>
        </w:rPr>
        <w:t>“AA”</w:t>
      </w:r>
      <w:r w:rsidRPr="009F40D7">
        <w:t xml:space="preserve"> </w:t>
      </w:r>
      <w:r>
        <w:t>başarı notu</w:t>
      </w:r>
      <w:r w:rsidRPr="009F40D7">
        <w:t xml:space="preserve"> olarak </w:t>
      </w:r>
      <w:r>
        <w:t xml:space="preserve">işlenmesinin uygun olduğuna </w:t>
      </w:r>
      <w:r w:rsidRPr="00376563">
        <w:t>ve gereği için Öğrenci İşleri Dairesi Başkanlığına arzına oybirliği ile karar verildi.</w:t>
      </w:r>
    </w:p>
    <w:p w:rsidR="00BA780C" w:rsidRDefault="00BA780C" w:rsidP="00403912">
      <w:pPr>
        <w:jc w:val="both"/>
        <w:rPr>
          <w:b/>
        </w:rPr>
      </w:pPr>
    </w:p>
    <w:p w:rsidR="00403912" w:rsidRPr="00B112D6" w:rsidRDefault="00403912" w:rsidP="00403912">
      <w:pPr>
        <w:jc w:val="both"/>
        <w:rPr>
          <w:b/>
        </w:rPr>
      </w:pPr>
      <w:r w:rsidRPr="00B112D6">
        <w:rPr>
          <w:b/>
        </w:rPr>
        <w:lastRenderedPageBreak/>
        <w:t xml:space="preserve">4- </w:t>
      </w:r>
      <w:r>
        <w:t xml:space="preserve">Geleneksel Türk Sanatları Bölüm Başkanlığının </w:t>
      </w:r>
      <w:proofErr w:type="gramStart"/>
      <w:r>
        <w:t>24/01/2017</w:t>
      </w:r>
      <w:proofErr w:type="gramEnd"/>
      <w:r>
        <w:t xml:space="preserve"> tarih ve 300-E.3752 sayılı yazısı okundu</w:t>
      </w:r>
    </w:p>
    <w:p w:rsidR="00403912" w:rsidRDefault="00403912" w:rsidP="00403912">
      <w:pPr>
        <w:jc w:val="both"/>
      </w:pPr>
      <w:r>
        <w:t xml:space="preserve">Yapılan görüşmeler </w:t>
      </w:r>
      <w:proofErr w:type="gramStart"/>
      <w:r>
        <w:t>sonunda ; Yüksek</w:t>
      </w:r>
      <w:proofErr w:type="gramEnd"/>
      <w:r>
        <w:t xml:space="preserve"> Öğretim Kurumlarında</w:t>
      </w:r>
      <w:r w:rsidRPr="00AB0751">
        <w:t xml:space="preserve"> </w:t>
      </w:r>
      <w:proofErr w:type="spellStart"/>
      <w:r w:rsidRPr="00AB0751">
        <w:t>Önlisans</w:t>
      </w:r>
      <w:proofErr w:type="spellEnd"/>
      <w:r w:rsidRPr="00AB0751">
        <w:t xml:space="preserve"> ve Lisans Düzeyindeki programlar arasında Geçiş, Çift </w:t>
      </w:r>
      <w:proofErr w:type="spellStart"/>
      <w:r w:rsidRPr="00AB0751">
        <w:t>Anadal</w:t>
      </w:r>
      <w:proofErr w:type="spellEnd"/>
      <w:r w:rsidRPr="00AB0751">
        <w:t xml:space="preserve">, </w:t>
      </w:r>
      <w:proofErr w:type="spellStart"/>
      <w:r w:rsidRPr="00AB0751">
        <w:t>Yandal</w:t>
      </w:r>
      <w:proofErr w:type="spellEnd"/>
      <w:r w:rsidRPr="00AB0751">
        <w:t xml:space="preserve"> ile </w:t>
      </w:r>
      <w:proofErr w:type="spellStart"/>
      <w:r w:rsidRPr="00AB0751">
        <w:t>Kurumlararası</w:t>
      </w:r>
      <w:proofErr w:type="spellEnd"/>
      <w:r w:rsidRPr="00AB0751">
        <w:t xml:space="preserve"> Kredi Transferi yapılması Esaslarına İlişkin Yönetmeliğin 22. Maddesi gereğince</w:t>
      </w:r>
      <w:r>
        <w:t xml:space="preserve">; </w:t>
      </w:r>
      <w:r w:rsidRPr="00AB0751">
        <w:t xml:space="preserve">Erzurum Atatürk Üniversitesi / Geleneksel El Sanatları Tezhip Bölümü 1613078056 </w:t>
      </w:r>
      <w:proofErr w:type="spellStart"/>
      <w:r w:rsidRPr="00AB0751">
        <w:t>nolu</w:t>
      </w:r>
      <w:proofErr w:type="spellEnd"/>
      <w:r w:rsidRPr="00AB0751">
        <w:t xml:space="preserve"> öğrencisi Gülcan </w:t>
      </w:r>
      <w:proofErr w:type="spellStart"/>
      <w:r w:rsidRPr="00AB0751">
        <w:t>AYDIN’ın</w:t>
      </w:r>
      <w:proofErr w:type="spellEnd"/>
      <w:r w:rsidRPr="00AB0751">
        <w:t>,</w:t>
      </w:r>
      <w:r w:rsidRPr="00114506">
        <w:t xml:space="preserve"> </w:t>
      </w:r>
      <w:r w:rsidRPr="00AB0751">
        <w:t xml:space="preserve">III. Yarıyıldan itibaren, geldiği Fakültedeki ders planları </w:t>
      </w:r>
      <w:r>
        <w:t>ile Fakültemiz Geleneksel Türk Sanatları Bölümü</w:t>
      </w:r>
      <w:r w:rsidRPr="00AB0751">
        <w:t xml:space="preserve"> ders planlarıyla birebir örtüşmediğinden, </w:t>
      </w:r>
      <w:r>
        <w:t xml:space="preserve">Söz konusu öğrenci </w:t>
      </w:r>
      <w:r w:rsidRPr="00AB0751">
        <w:t xml:space="preserve">sadece 2016/2017 Bahar döneminde </w:t>
      </w:r>
      <w:r>
        <w:t>Fakültemiz Geleneksel Türk Sanatları Bölümü</w:t>
      </w:r>
      <w:r w:rsidRPr="00AB0751">
        <w:t xml:space="preserve"> Tezhip </w:t>
      </w:r>
      <w:proofErr w:type="spellStart"/>
      <w:r w:rsidRPr="00AB0751">
        <w:t>Anasanat</w:t>
      </w:r>
      <w:proofErr w:type="spellEnd"/>
      <w:r w:rsidRPr="00AB0751">
        <w:t xml:space="preserve"> Dalı’nda “</w:t>
      </w:r>
      <w:r w:rsidRPr="00AB0751">
        <w:rPr>
          <w:b/>
        </w:rPr>
        <w:t>Özel Öğrenci</w:t>
      </w:r>
      <w:r>
        <w:t xml:space="preserve">” statüsünde öğrenimini sürdürmesine ve aşağıda yer alan tablodaki derslere kaydının yapılmasının uygun olduğuna ve gereği için Öğrenci İşleri Dairesi Başkanlığına arzına </w:t>
      </w:r>
      <w:r w:rsidRPr="00AB0751">
        <w:t xml:space="preserve"> </w:t>
      </w:r>
      <w:r>
        <w:t>oybirliği ile karar verildi</w:t>
      </w:r>
      <w:r w:rsidRPr="009F40D7">
        <w:t xml:space="preserve">    </w:t>
      </w:r>
    </w:p>
    <w:p w:rsidR="00BA780C" w:rsidRPr="00B112D6" w:rsidRDefault="00BA780C" w:rsidP="0040391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346"/>
        <w:gridCol w:w="741"/>
        <w:gridCol w:w="886"/>
        <w:gridCol w:w="904"/>
      </w:tblGrid>
      <w:tr w:rsidR="00403912" w:rsidRPr="00D02C01" w:rsidTr="00B13B6C">
        <w:trPr>
          <w:trHeight w:val="276"/>
          <w:jc w:val="center"/>
        </w:trPr>
        <w:tc>
          <w:tcPr>
            <w:tcW w:w="7342" w:type="dxa"/>
            <w:gridSpan w:val="5"/>
            <w:shd w:val="clear" w:color="auto" w:fill="auto"/>
          </w:tcPr>
          <w:p w:rsidR="00403912" w:rsidRPr="00D02C01" w:rsidRDefault="00403912" w:rsidP="00E1524F">
            <w:pPr>
              <w:jc w:val="center"/>
              <w:rPr>
                <w:rFonts w:cs="Calibri"/>
                <w:b/>
                <w:color w:val="000000"/>
              </w:rPr>
            </w:pPr>
            <w:r w:rsidRPr="00D02C01">
              <w:rPr>
                <w:rFonts w:cs="Calibri"/>
                <w:b/>
                <w:color w:val="000000"/>
              </w:rPr>
              <w:t>II.</w:t>
            </w:r>
            <w:r>
              <w:rPr>
                <w:rFonts w:cs="Calibri"/>
                <w:b/>
                <w:color w:val="000000"/>
              </w:rPr>
              <w:t xml:space="preserve"> </w:t>
            </w:r>
            <w:r w:rsidRPr="00D02C01">
              <w:rPr>
                <w:rFonts w:cs="Calibri"/>
                <w:b/>
                <w:color w:val="000000"/>
              </w:rPr>
              <w:t>YARIYIL</w:t>
            </w:r>
          </w:p>
        </w:tc>
      </w:tr>
      <w:tr w:rsidR="00403912" w:rsidRPr="00D02C01" w:rsidTr="00B13B6C">
        <w:trPr>
          <w:trHeight w:val="258"/>
          <w:jc w:val="center"/>
        </w:trPr>
        <w:tc>
          <w:tcPr>
            <w:tcW w:w="1465" w:type="dxa"/>
            <w:shd w:val="clear" w:color="auto" w:fill="auto"/>
          </w:tcPr>
          <w:p w:rsidR="00403912" w:rsidRPr="00D02C01" w:rsidRDefault="00403912" w:rsidP="00E1524F">
            <w:pPr>
              <w:jc w:val="both"/>
              <w:rPr>
                <w:rFonts w:cs="Calibri"/>
                <w:b/>
                <w:color w:val="000000"/>
                <w:sz w:val="22"/>
                <w:szCs w:val="22"/>
              </w:rPr>
            </w:pPr>
            <w:r w:rsidRPr="00D02C01">
              <w:rPr>
                <w:rFonts w:cs="Calibri"/>
                <w:b/>
                <w:color w:val="000000"/>
                <w:sz w:val="22"/>
                <w:szCs w:val="22"/>
              </w:rPr>
              <w:t>KODU</w:t>
            </w:r>
          </w:p>
        </w:tc>
        <w:tc>
          <w:tcPr>
            <w:tcW w:w="3346" w:type="dxa"/>
            <w:shd w:val="clear" w:color="auto" w:fill="auto"/>
          </w:tcPr>
          <w:p w:rsidR="00403912" w:rsidRPr="00D02C01" w:rsidRDefault="00403912" w:rsidP="00E1524F">
            <w:pPr>
              <w:jc w:val="both"/>
              <w:rPr>
                <w:rFonts w:cs="Calibri"/>
                <w:b/>
                <w:color w:val="000000"/>
                <w:sz w:val="22"/>
                <w:szCs w:val="22"/>
              </w:rPr>
            </w:pPr>
            <w:r w:rsidRPr="00D02C01">
              <w:rPr>
                <w:rFonts w:cs="Calibri"/>
                <w:b/>
                <w:color w:val="000000"/>
                <w:sz w:val="22"/>
                <w:szCs w:val="22"/>
              </w:rPr>
              <w:t>DERSİN ADI</w:t>
            </w:r>
          </w:p>
        </w:tc>
        <w:tc>
          <w:tcPr>
            <w:tcW w:w="741" w:type="dxa"/>
            <w:shd w:val="clear" w:color="auto" w:fill="auto"/>
          </w:tcPr>
          <w:p w:rsidR="00403912" w:rsidRPr="00D02C01" w:rsidRDefault="00403912" w:rsidP="00E1524F">
            <w:pPr>
              <w:jc w:val="both"/>
              <w:rPr>
                <w:rFonts w:cs="Calibri"/>
                <w:b/>
                <w:color w:val="000000"/>
                <w:sz w:val="22"/>
                <w:szCs w:val="22"/>
              </w:rPr>
            </w:pPr>
            <w:r w:rsidRPr="00D02C01">
              <w:rPr>
                <w:rFonts w:cs="Calibri"/>
                <w:b/>
                <w:color w:val="000000"/>
                <w:sz w:val="22"/>
                <w:szCs w:val="22"/>
              </w:rPr>
              <w:t>Z/S</w:t>
            </w:r>
          </w:p>
        </w:tc>
        <w:tc>
          <w:tcPr>
            <w:tcW w:w="886" w:type="dxa"/>
            <w:shd w:val="clear" w:color="auto" w:fill="auto"/>
          </w:tcPr>
          <w:p w:rsidR="00403912" w:rsidRPr="00D02C01" w:rsidRDefault="00403912" w:rsidP="00E1524F">
            <w:pPr>
              <w:jc w:val="both"/>
              <w:rPr>
                <w:rFonts w:cs="Calibri"/>
                <w:b/>
                <w:color w:val="000000"/>
                <w:sz w:val="22"/>
                <w:szCs w:val="22"/>
              </w:rPr>
            </w:pPr>
            <w:r w:rsidRPr="00D02C01">
              <w:rPr>
                <w:rFonts w:cs="Calibri"/>
                <w:b/>
                <w:color w:val="000000"/>
                <w:sz w:val="22"/>
                <w:szCs w:val="22"/>
              </w:rPr>
              <w:t>T+U</w:t>
            </w:r>
          </w:p>
        </w:tc>
        <w:tc>
          <w:tcPr>
            <w:tcW w:w="904" w:type="dxa"/>
            <w:shd w:val="clear" w:color="auto" w:fill="auto"/>
          </w:tcPr>
          <w:p w:rsidR="00403912" w:rsidRPr="00D02C01" w:rsidRDefault="00403912" w:rsidP="00E1524F">
            <w:pPr>
              <w:jc w:val="both"/>
              <w:rPr>
                <w:rFonts w:cs="Calibri"/>
                <w:b/>
                <w:color w:val="000000"/>
                <w:sz w:val="22"/>
                <w:szCs w:val="22"/>
              </w:rPr>
            </w:pPr>
            <w:r w:rsidRPr="00D02C01">
              <w:rPr>
                <w:rFonts w:cs="Calibri"/>
                <w:b/>
                <w:color w:val="000000"/>
                <w:sz w:val="22"/>
                <w:szCs w:val="22"/>
              </w:rPr>
              <w:t>AKTS</w:t>
            </w:r>
          </w:p>
        </w:tc>
      </w:tr>
      <w:tr w:rsidR="00403912" w:rsidRPr="00D02C01" w:rsidTr="00B13B6C">
        <w:trPr>
          <w:trHeight w:val="241"/>
          <w:jc w:val="center"/>
        </w:trPr>
        <w:tc>
          <w:tcPr>
            <w:tcW w:w="1465"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TEZ 102</w:t>
            </w:r>
          </w:p>
        </w:tc>
        <w:tc>
          <w:tcPr>
            <w:tcW w:w="334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Türk Desenleri II</w:t>
            </w:r>
          </w:p>
        </w:tc>
        <w:tc>
          <w:tcPr>
            <w:tcW w:w="741"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Z</w:t>
            </w:r>
          </w:p>
        </w:tc>
        <w:tc>
          <w:tcPr>
            <w:tcW w:w="88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2+4</w:t>
            </w:r>
          </w:p>
        </w:tc>
        <w:tc>
          <w:tcPr>
            <w:tcW w:w="904"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5</w:t>
            </w:r>
          </w:p>
        </w:tc>
      </w:tr>
      <w:tr w:rsidR="00403912" w:rsidRPr="00D02C01" w:rsidTr="00B13B6C">
        <w:trPr>
          <w:trHeight w:val="258"/>
          <w:jc w:val="center"/>
        </w:trPr>
        <w:tc>
          <w:tcPr>
            <w:tcW w:w="1465"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RSM 102</w:t>
            </w:r>
          </w:p>
        </w:tc>
        <w:tc>
          <w:tcPr>
            <w:tcW w:w="334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Teknik Resim ve Perspektif II</w:t>
            </w:r>
          </w:p>
        </w:tc>
        <w:tc>
          <w:tcPr>
            <w:tcW w:w="741"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Z</w:t>
            </w:r>
          </w:p>
        </w:tc>
        <w:tc>
          <w:tcPr>
            <w:tcW w:w="88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1+2</w:t>
            </w:r>
          </w:p>
        </w:tc>
        <w:tc>
          <w:tcPr>
            <w:tcW w:w="904"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3</w:t>
            </w:r>
          </w:p>
        </w:tc>
      </w:tr>
      <w:tr w:rsidR="00403912" w:rsidRPr="00D02C01" w:rsidTr="00B13B6C">
        <w:trPr>
          <w:trHeight w:val="258"/>
          <w:jc w:val="center"/>
        </w:trPr>
        <w:tc>
          <w:tcPr>
            <w:tcW w:w="1465"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RSM 104</w:t>
            </w:r>
          </w:p>
        </w:tc>
        <w:tc>
          <w:tcPr>
            <w:tcW w:w="334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Temel Sanat Eğitimi II</w:t>
            </w:r>
          </w:p>
        </w:tc>
        <w:tc>
          <w:tcPr>
            <w:tcW w:w="741"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Z</w:t>
            </w:r>
          </w:p>
        </w:tc>
        <w:tc>
          <w:tcPr>
            <w:tcW w:w="88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4+4</w:t>
            </w:r>
          </w:p>
        </w:tc>
        <w:tc>
          <w:tcPr>
            <w:tcW w:w="904"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10</w:t>
            </w:r>
          </w:p>
        </w:tc>
      </w:tr>
      <w:tr w:rsidR="00403912" w:rsidRPr="00D02C01" w:rsidTr="00B13B6C">
        <w:trPr>
          <w:trHeight w:val="258"/>
          <w:jc w:val="center"/>
        </w:trPr>
        <w:tc>
          <w:tcPr>
            <w:tcW w:w="1465"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TUR 102</w:t>
            </w:r>
          </w:p>
        </w:tc>
        <w:tc>
          <w:tcPr>
            <w:tcW w:w="334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TURK DILI</w:t>
            </w:r>
          </w:p>
        </w:tc>
        <w:tc>
          <w:tcPr>
            <w:tcW w:w="741"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Z</w:t>
            </w:r>
          </w:p>
        </w:tc>
        <w:tc>
          <w:tcPr>
            <w:tcW w:w="886"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4+0</w:t>
            </w:r>
          </w:p>
        </w:tc>
        <w:tc>
          <w:tcPr>
            <w:tcW w:w="904" w:type="dxa"/>
            <w:shd w:val="clear" w:color="auto" w:fill="auto"/>
          </w:tcPr>
          <w:p w:rsidR="00403912" w:rsidRPr="00D02C01" w:rsidRDefault="00403912" w:rsidP="00E1524F">
            <w:pPr>
              <w:jc w:val="both"/>
              <w:rPr>
                <w:rFonts w:cs="Calibri"/>
                <w:color w:val="000000"/>
                <w:sz w:val="22"/>
                <w:szCs w:val="22"/>
              </w:rPr>
            </w:pPr>
            <w:r w:rsidRPr="00D02C01">
              <w:rPr>
                <w:rFonts w:cs="Calibri"/>
                <w:color w:val="000000"/>
                <w:sz w:val="22"/>
                <w:szCs w:val="22"/>
              </w:rPr>
              <w:t>4</w:t>
            </w:r>
          </w:p>
        </w:tc>
      </w:tr>
    </w:tbl>
    <w:p w:rsidR="00403912" w:rsidRDefault="00403912" w:rsidP="00403912">
      <w:pPr>
        <w:jc w:val="both"/>
        <w:rPr>
          <w:b/>
          <w:bCs/>
          <w:color w:val="000000"/>
        </w:rPr>
      </w:pPr>
    </w:p>
    <w:p w:rsidR="00403912" w:rsidRPr="009F40D7" w:rsidRDefault="00403912" w:rsidP="00403912">
      <w:pPr>
        <w:jc w:val="both"/>
        <w:rPr>
          <w:color w:val="000000"/>
        </w:rPr>
      </w:pPr>
      <w:r>
        <w:rPr>
          <w:b/>
          <w:bCs/>
          <w:color w:val="000000"/>
        </w:rPr>
        <w:t>5</w:t>
      </w:r>
      <w:r w:rsidRPr="009F40D7">
        <w:rPr>
          <w:color w:val="000000"/>
        </w:rPr>
        <w:t>-</w:t>
      </w:r>
      <w:r w:rsidRPr="00DC7D46">
        <w:t xml:space="preserve"> </w:t>
      </w:r>
      <w:r>
        <w:t xml:space="preserve">Geleneksel Türk Sanatları Bölüm Başkanlığının </w:t>
      </w:r>
      <w:proofErr w:type="gramStart"/>
      <w:r>
        <w:t>24/01/2017</w:t>
      </w:r>
      <w:proofErr w:type="gramEnd"/>
      <w:r>
        <w:t xml:space="preserve"> tarih ve 903.07.03-E.3717 sayılı yazısı okundu</w:t>
      </w:r>
      <w:r w:rsidRPr="009F40D7">
        <w:rPr>
          <w:color w:val="000000"/>
        </w:rPr>
        <w:t>.</w:t>
      </w:r>
    </w:p>
    <w:p w:rsidR="00403912" w:rsidRDefault="00403912" w:rsidP="00403912">
      <w:pPr>
        <w:jc w:val="both"/>
      </w:pPr>
      <w:r w:rsidRPr="009F40D7">
        <w:t xml:space="preserve">Yapılan görüşmeler sonunda; </w:t>
      </w:r>
      <w:r>
        <w:t>Fakültemiz Geleneksel Türk Sanatları Bölümü</w:t>
      </w:r>
      <w:r w:rsidRPr="009F40D7">
        <w:t xml:space="preserve"> Hat </w:t>
      </w:r>
      <w:proofErr w:type="spellStart"/>
      <w:r w:rsidRPr="009F40D7">
        <w:t>Anasanat</w:t>
      </w:r>
      <w:proofErr w:type="spellEnd"/>
      <w:r w:rsidRPr="009F40D7">
        <w:t xml:space="preserve"> Dalı Başkanı </w:t>
      </w:r>
      <w:proofErr w:type="spellStart"/>
      <w:r w:rsidRPr="009F40D7">
        <w:t>Öğr</w:t>
      </w:r>
      <w:proofErr w:type="spellEnd"/>
      <w:r w:rsidRPr="009F40D7">
        <w:t xml:space="preserve">. Gör. </w:t>
      </w:r>
      <w:proofErr w:type="gramStart"/>
      <w:r w:rsidRPr="009F40D7">
        <w:t xml:space="preserve">Orhan </w:t>
      </w:r>
      <w:proofErr w:type="spellStart"/>
      <w:r w:rsidRPr="009F40D7">
        <w:t>ALTUĞ’un</w:t>
      </w:r>
      <w:proofErr w:type="spellEnd"/>
      <w:r w:rsidRPr="009F40D7">
        <w:t xml:space="preserve">, 2016/2017 Eğitim Öğretim Yılı Bahar Dönemi’nde on beş günde bir (Cuma günleri)  Kıbrıs Sosyal Bilimler Üniversitesi Dini İlimler Fakültesi İlahiyat Bölümü’nde, aşağıda belirtilen dersi vermek üzere, 2547 sayılı Kanunun 39. Maddesi </w:t>
      </w:r>
      <w:r>
        <w:t xml:space="preserve">ile Yurtiçinde ve Yurtdışında Görevlendirmelerde Uyulacak Esaslara İlişkin Yönetmeliğin 2.Maddesinin (a) fıkrası ve 3.Maddesi gereğince </w:t>
      </w:r>
      <w:r w:rsidRPr="009F40D7">
        <w:t>yolluksuz-</w:t>
      </w:r>
      <w:proofErr w:type="spellStart"/>
      <w:r w:rsidRPr="009F40D7">
        <w:t>yevmiyesiz</w:t>
      </w:r>
      <w:proofErr w:type="spellEnd"/>
      <w:r w:rsidRPr="009F40D7">
        <w:t>, maaşlı-izinli olarak görevlendirilmesinin uygu</w:t>
      </w:r>
      <w:r>
        <w:t>n olduğuna oy birliği ile karar verildi.</w:t>
      </w:r>
      <w:proofErr w:type="gramEnd"/>
    </w:p>
    <w:p w:rsidR="00BA780C" w:rsidRDefault="00BA780C" w:rsidP="00403912">
      <w:pPr>
        <w:jc w:val="both"/>
      </w:pP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40"/>
        <w:gridCol w:w="1800"/>
        <w:gridCol w:w="1080"/>
        <w:gridCol w:w="816"/>
      </w:tblGrid>
      <w:tr w:rsidR="00403912" w:rsidTr="00E1524F">
        <w:tc>
          <w:tcPr>
            <w:tcW w:w="1146" w:type="dxa"/>
          </w:tcPr>
          <w:p w:rsidR="00403912" w:rsidRPr="0035060C" w:rsidRDefault="00403912" w:rsidP="00E1524F">
            <w:pPr>
              <w:jc w:val="both"/>
              <w:rPr>
                <w:b/>
              </w:rPr>
            </w:pPr>
            <w:r w:rsidRPr="0035060C">
              <w:rPr>
                <w:b/>
                <w:sz w:val="22"/>
                <w:szCs w:val="22"/>
              </w:rPr>
              <w:t>Y.Y</w:t>
            </w:r>
          </w:p>
        </w:tc>
        <w:tc>
          <w:tcPr>
            <w:tcW w:w="1440" w:type="dxa"/>
          </w:tcPr>
          <w:p w:rsidR="00403912" w:rsidRPr="0035060C" w:rsidRDefault="00403912" w:rsidP="00E1524F">
            <w:pPr>
              <w:jc w:val="both"/>
              <w:rPr>
                <w:b/>
              </w:rPr>
            </w:pPr>
            <w:r w:rsidRPr="0035060C">
              <w:rPr>
                <w:b/>
                <w:sz w:val="22"/>
                <w:szCs w:val="22"/>
              </w:rPr>
              <w:t>KODU</w:t>
            </w:r>
          </w:p>
        </w:tc>
        <w:tc>
          <w:tcPr>
            <w:tcW w:w="1800" w:type="dxa"/>
          </w:tcPr>
          <w:p w:rsidR="00403912" w:rsidRPr="0035060C" w:rsidRDefault="00403912" w:rsidP="00E1524F">
            <w:pPr>
              <w:jc w:val="both"/>
              <w:rPr>
                <w:b/>
              </w:rPr>
            </w:pPr>
            <w:r w:rsidRPr="0035060C">
              <w:rPr>
                <w:b/>
                <w:sz w:val="22"/>
                <w:szCs w:val="22"/>
              </w:rPr>
              <w:t>DERSİN ADI</w:t>
            </w:r>
          </w:p>
        </w:tc>
        <w:tc>
          <w:tcPr>
            <w:tcW w:w="1080" w:type="dxa"/>
          </w:tcPr>
          <w:p w:rsidR="00403912" w:rsidRPr="0035060C" w:rsidRDefault="00403912" w:rsidP="00E1524F">
            <w:pPr>
              <w:jc w:val="both"/>
              <w:rPr>
                <w:b/>
              </w:rPr>
            </w:pPr>
            <w:r w:rsidRPr="0035060C">
              <w:rPr>
                <w:b/>
                <w:sz w:val="22"/>
                <w:szCs w:val="22"/>
              </w:rPr>
              <w:t>T+U</w:t>
            </w:r>
          </w:p>
        </w:tc>
        <w:tc>
          <w:tcPr>
            <w:tcW w:w="791" w:type="dxa"/>
          </w:tcPr>
          <w:p w:rsidR="00403912" w:rsidRPr="0035060C" w:rsidRDefault="00403912" w:rsidP="00E1524F">
            <w:pPr>
              <w:jc w:val="both"/>
              <w:rPr>
                <w:b/>
              </w:rPr>
            </w:pPr>
            <w:r w:rsidRPr="0035060C">
              <w:rPr>
                <w:b/>
                <w:sz w:val="22"/>
                <w:szCs w:val="22"/>
              </w:rPr>
              <w:t>AKTS</w:t>
            </w:r>
          </w:p>
        </w:tc>
      </w:tr>
      <w:tr w:rsidR="00403912" w:rsidTr="00E1524F">
        <w:tc>
          <w:tcPr>
            <w:tcW w:w="1146" w:type="dxa"/>
          </w:tcPr>
          <w:p w:rsidR="00403912" w:rsidRPr="0090107B" w:rsidRDefault="00403912" w:rsidP="00E1524F">
            <w:pPr>
              <w:jc w:val="both"/>
            </w:pPr>
            <w:r w:rsidRPr="0090107B">
              <w:rPr>
                <w:sz w:val="22"/>
                <w:szCs w:val="22"/>
              </w:rPr>
              <w:t>IV.</w:t>
            </w:r>
          </w:p>
        </w:tc>
        <w:tc>
          <w:tcPr>
            <w:tcW w:w="1440" w:type="dxa"/>
          </w:tcPr>
          <w:p w:rsidR="00403912" w:rsidRPr="0090107B" w:rsidRDefault="00403912" w:rsidP="00E1524F">
            <w:pPr>
              <w:jc w:val="both"/>
            </w:pPr>
            <w:r w:rsidRPr="0090107B">
              <w:rPr>
                <w:sz w:val="22"/>
                <w:szCs w:val="22"/>
              </w:rPr>
              <w:t>İLA 226</w:t>
            </w:r>
          </w:p>
        </w:tc>
        <w:tc>
          <w:tcPr>
            <w:tcW w:w="1800" w:type="dxa"/>
          </w:tcPr>
          <w:p w:rsidR="00403912" w:rsidRPr="0090107B" w:rsidRDefault="00403912" w:rsidP="00E1524F">
            <w:pPr>
              <w:jc w:val="both"/>
            </w:pPr>
            <w:r w:rsidRPr="0090107B">
              <w:rPr>
                <w:sz w:val="22"/>
                <w:szCs w:val="22"/>
              </w:rPr>
              <w:t>HÜSN-İ HAT</w:t>
            </w:r>
          </w:p>
        </w:tc>
        <w:tc>
          <w:tcPr>
            <w:tcW w:w="1080" w:type="dxa"/>
          </w:tcPr>
          <w:p w:rsidR="00403912" w:rsidRPr="0090107B" w:rsidRDefault="00403912" w:rsidP="00E1524F">
            <w:pPr>
              <w:jc w:val="both"/>
            </w:pPr>
            <w:r w:rsidRPr="0090107B">
              <w:rPr>
                <w:sz w:val="22"/>
                <w:szCs w:val="22"/>
              </w:rPr>
              <w:t>2+1</w:t>
            </w:r>
          </w:p>
        </w:tc>
        <w:tc>
          <w:tcPr>
            <w:tcW w:w="791" w:type="dxa"/>
          </w:tcPr>
          <w:p w:rsidR="00403912" w:rsidRPr="0090107B" w:rsidRDefault="00403912" w:rsidP="00E1524F">
            <w:pPr>
              <w:jc w:val="both"/>
            </w:pPr>
            <w:r w:rsidRPr="0090107B">
              <w:rPr>
                <w:sz w:val="22"/>
                <w:szCs w:val="22"/>
              </w:rPr>
              <w:t>4</w:t>
            </w:r>
          </w:p>
        </w:tc>
      </w:tr>
    </w:tbl>
    <w:p w:rsidR="00403912" w:rsidRPr="009F40D7" w:rsidRDefault="00403912" w:rsidP="00403912">
      <w:pPr>
        <w:jc w:val="both"/>
      </w:pPr>
    </w:p>
    <w:p w:rsidR="00403912" w:rsidRPr="00376563" w:rsidRDefault="00403912" w:rsidP="00403912">
      <w:pPr>
        <w:jc w:val="both"/>
      </w:pPr>
    </w:p>
    <w:p w:rsidR="00403912" w:rsidRDefault="00403912" w:rsidP="00403912">
      <w:pPr>
        <w:jc w:val="both"/>
      </w:pPr>
    </w:p>
    <w:p w:rsidR="00403912" w:rsidRPr="001F71FE" w:rsidRDefault="00403912" w:rsidP="00403912"/>
    <w:p w:rsidR="00403912" w:rsidRPr="001F71FE" w:rsidRDefault="00403912" w:rsidP="00403912"/>
    <w:p w:rsidR="00403912" w:rsidRDefault="00403912" w:rsidP="00403912"/>
    <w:p w:rsidR="00403912" w:rsidRDefault="00403912" w:rsidP="00403912"/>
    <w:p w:rsidR="00403912" w:rsidRPr="005B1C08" w:rsidRDefault="00403912" w:rsidP="00403912">
      <w:pPr>
        <w:rPr>
          <w:b/>
          <w:bCs/>
        </w:rPr>
      </w:pPr>
      <w:r w:rsidRPr="005B1C08">
        <w:rPr>
          <w:b/>
          <w:bCs/>
        </w:rPr>
        <w:t>Prof. Hayriye KOÇ BAŞARA</w:t>
      </w:r>
      <w:r w:rsidRPr="005B1C08">
        <w:rPr>
          <w:b/>
          <w:bCs/>
        </w:rPr>
        <w:tab/>
      </w:r>
      <w:r w:rsidRPr="005B1C08">
        <w:rPr>
          <w:b/>
          <w:bCs/>
        </w:rPr>
        <w:tab/>
      </w:r>
      <w:r w:rsidRPr="005B1C08">
        <w:rPr>
          <w:b/>
          <w:bCs/>
        </w:rPr>
        <w:tab/>
        <w:t xml:space="preserve">Prof. Dr. </w:t>
      </w:r>
      <w:r>
        <w:rPr>
          <w:b/>
          <w:bCs/>
        </w:rPr>
        <w:t>Süreyya ÇAKIR</w:t>
      </w:r>
    </w:p>
    <w:p w:rsidR="00403912" w:rsidRPr="005B1C08" w:rsidRDefault="00403912" w:rsidP="00403912">
      <w:pPr>
        <w:rPr>
          <w:b/>
          <w:bCs/>
        </w:rPr>
      </w:pPr>
      <w:r w:rsidRPr="005B1C08">
        <w:rPr>
          <w:b/>
          <w:bCs/>
        </w:rPr>
        <w:t>DEKAN</w:t>
      </w:r>
      <w:r w:rsidRPr="005B1C08">
        <w:rPr>
          <w:b/>
          <w:bCs/>
        </w:rPr>
        <w:tab/>
      </w:r>
      <w:r w:rsidRPr="005B1C08">
        <w:rPr>
          <w:b/>
          <w:bCs/>
        </w:rPr>
        <w:tab/>
      </w:r>
      <w:r w:rsidRPr="005B1C08">
        <w:rPr>
          <w:b/>
          <w:bCs/>
        </w:rPr>
        <w:tab/>
      </w:r>
      <w:r w:rsidRPr="005B1C08">
        <w:rPr>
          <w:b/>
          <w:bCs/>
        </w:rPr>
        <w:tab/>
      </w:r>
      <w:r w:rsidRPr="005B1C08">
        <w:rPr>
          <w:b/>
          <w:bCs/>
        </w:rPr>
        <w:tab/>
      </w:r>
      <w:r w:rsidRPr="005B1C08">
        <w:rPr>
          <w:b/>
          <w:bCs/>
        </w:rPr>
        <w:tab/>
        <w:t>ÜYE</w:t>
      </w:r>
    </w:p>
    <w:p w:rsidR="00403912" w:rsidRDefault="00403912" w:rsidP="00403912">
      <w:pPr>
        <w:rPr>
          <w:b/>
          <w:bCs/>
        </w:rPr>
      </w:pPr>
    </w:p>
    <w:p w:rsidR="00BA780C" w:rsidRPr="005B1C08" w:rsidRDefault="00BA780C" w:rsidP="00403912">
      <w:pPr>
        <w:rPr>
          <w:b/>
          <w:bCs/>
        </w:rPr>
      </w:pPr>
    </w:p>
    <w:p w:rsidR="00403912" w:rsidRPr="005B1C08" w:rsidRDefault="00403912" w:rsidP="00403912">
      <w:pPr>
        <w:rPr>
          <w:b/>
          <w:bCs/>
        </w:rPr>
      </w:pPr>
    </w:p>
    <w:p w:rsidR="00403912" w:rsidRDefault="00403912" w:rsidP="00403912">
      <w:pPr>
        <w:rPr>
          <w:b/>
          <w:bCs/>
        </w:rPr>
      </w:pPr>
      <w:r>
        <w:rPr>
          <w:b/>
          <w:bCs/>
        </w:rPr>
        <w:t>Prof. Didem ATİŞ</w:t>
      </w:r>
      <w:r w:rsidRPr="001F71FE">
        <w:rPr>
          <w:b/>
          <w:bCs/>
        </w:rPr>
        <w:t xml:space="preserve"> </w:t>
      </w:r>
      <w:r>
        <w:rPr>
          <w:b/>
          <w:bCs/>
        </w:rPr>
        <w:t xml:space="preserve">                                                   Doç. Tahsin TURGAY</w:t>
      </w:r>
    </w:p>
    <w:p w:rsidR="00403912" w:rsidRDefault="00403912" w:rsidP="00403912">
      <w:pPr>
        <w:tabs>
          <w:tab w:val="left" w:pos="5850"/>
        </w:tabs>
        <w:rPr>
          <w:b/>
          <w:bCs/>
        </w:rPr>
      </w:pPr>
      <w:r>
        <w:rPr>
          <w:b/>
          <w:bCs/>
        </w:rPr>
        <w:t xml:space="preserve">ÜYE                                                                          </w:t>
      </w:r>
      <w:proofErr w:type="spellStart"/>
      <w:r>
        <w:rPr>
          <w:b/>
          <w:bCs/>
        </w:rPr>
        <w:t>ÜYE</w:t>
      </w:r>
      <w:proofErr w:type="spellEnd"/>
      <w:r>
        <w:rPr>
          <w:b/>
          <w:bCs/>
        </w:rPr>
        <w:tab/>
      </w:r>
    </w:p>
    <w:p w:rsidR="00403912" w:rsidRDefault="00403912" w:rsidP="00403912">
      <w:pPr>
        <w:rPr>
          <w:b/>
          <w:bCs/>
        </w:rPr>
      </w:pPr>
    </w:p>
    <w:p w:rsidR="00403912" w:rsidRDefault="00403912" w:rsidP="00403912">
      <w:pPr>
        <w:rPr>
          <w:b/>
          <w:bCs/>
        </w:rPr>
      </w:pPr>
    </w:p>
    <w:p w:rsidR="00403912" w:rsidRPr="005B1C08" w:rsidRDefault="00403912" w:rsidP="00403912">
      <w:pPr>
        <w:rPr>
          <w:b/>
          <w:bCs/>
        </w:rPr>
      </w:pPr>
      <w:r>
        <w:rPr>
          <w:b/>
          <w:bCs/>
        </w:rPr>
        <w:tab/>
      </w:r>
      <w:r>
        <w:rPr>
          <w:b/>
          <w:bCs/>
        </w:rPr>
        <w:tab/>
      </w:r>
      <w:r>
        <w:rPr>
          <w:b/>
          <w:bCs/>
        </w:rPr>
        <w:tab/>
      </w:r>
      <w:r>
        <w:rPr>
          <w:b/>
          <w:bCs/>
        </w:rPr>
        <w:tab/>
      </w:r>
      <w:r>
        <w:rPr>
          <w:b/>
          <w:bCs/>
        </w:rPr>
        <w:tab/>
      </w:r>
    </w:p>
    <w:p w:rsidR="00403912" w:rsidRDefault="00403912" w:rsidP="00403912">
      <w:pPr>
        <w:tabs>
          <w:tab w:val="left" w:pos="5490"/>
        </w:tabs>
        <w:rPr>
          <w:b/>
          <w:bCs/>
        </w:rPr>
      </w:pPr>
      <w:r>
        <w:rPr>
          <w:b/>
          <w:bCs/>
        </w:rPr>
        <w:t>Doç. Buket ACARTÜRK</w:t>
      </w:r>
    </w:p>
    <w:p w:rsidR="00403912" w:rsidRPr="005B1C08" w:rsidRDefault="00403912" w:rsidP="00403912">
      <w:pPr>
        <w:rPr>
          <w:b/>
          <w:bCs/>
        </w:rPr>
      </w:pPr>
      <w:r>
        <w:rPr>
          <w:b/>
          <w:bCs/>
        </w:rPr>
        <w:t>ÜYE</w:t>
      </w:r>
    </w:p>
    <w:p w:rsidR="00403912" w:rsidRDefault="00403912" w:rsidP="00403912"/>
    <w:p w:rsidR="00DA7866" w:rsidRPr="00376563" w:rsidRDefault="00DA7866" w:rsidP="00376563">
      <w:pPr>
        <w:jc w:val="both"/>
      </w:pPr>
    </w:p>
    <w:sectPr w:rsidR="00DA7866" w:rsidRPr="00376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BB355B"/>
    <w:multiLevelType w:val="hybridMultilevel"/>
    <w:tmpl w:val="28CC7C06"/>
    <w:lvl w:ilvl="0" w:tplc="0444ED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B6"/>
    <w:rsid w:val="00172EBD"/>
    <w:rsid w:val="002E0DA3"/>
    <w:rsid w:val="00376563"/>
    <w:rsid w:val="00403912"/>
    <w:rsid w:val="005D0EE2"/>
    <w:rsid w:val="006E0217"/>
    <w:rsid w:val="00762636"/>
    <w:rsid w:val="009A4DB3"/>
    <w:rsid w:val="00A64CFE"/>
    <w:rsid w:val="00A87B07"/>
    <w:rsid w:val="00B13B6C"/>
    <w:rsid w:val="00BA780C"/>
    <w:rsid w:val="00D12ADF"/>
    <w:rsid w:val="00D27AAE"/>
    <w:rsid w:val="00D40CB6"/>
    <w:rsid w:val="00DA7866"/>
    <w:rsid w:val="00FF6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CFE"/>
    <w:pPr>
      <w:ind w:left="720"/>
      <w:contextualSpacing/>
    </w:pPr>
  </w:style>
  <w:style w:type="character" w:styleId="Kpr">
    <w:name w:val="Hyperlink"/>
    <w:basedOn w:val="VarsaylanParagrafYazTipi"/>
    <w:uiPriority w:val="99"/>
    <w:unhideWhenUsed/>
    <w:rsid w:val="00A87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CFE"/>
    <w:pPr>
      <w:ind w:left="720"/>
      <w:contextualSpacing/>
    </w:pPr>
  </w:style>
  <w:style w:type="character" w:styleId="Kpr">
    <w:name w:val="Hyperlink"/>
    <w:basedOn w:val="VarsaylanParagrafYazTipi"/>
    <w:uiPriority w:val="99"/>
    <w:unhideWhenUsed/>
    <w:rsid w:val="00A87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316">
      <w:bodyDiv w:val="1"/>
      <w:marLeft w:val="0"/>
      <w:marRight w:val="0"/>
      <w:marTop w:val="0"/>
      <w:marBottom w:val="0"/>
      <w:divBdr>
        <w:top w:val="none" w:sz="0" w:space="0" w:color="auto"/>
        <w:left w:val="none" w:sz="0" w:space="0" w:color="auto"/>
        <w:bottom w:val="none" w:sz="0" w:space="0" w:color="auto"/>
        <w:right w:val="none" w:sz="0" w:space="0" w:color="auto"/>
      </w:divBdr>
    </w:div>
    <w:div w:id="1265655665">
      <w:bodyDiv w:val="1"/>
      <w:marLeft w:val="0"/>
      <w:marRight w:val="0"/>
      <w:marTop w:val="0"/>
      <w:marBottom w:val="0"/>
      <w:divBdr>
        <w:top w:val="none" w:sz="0" w:space="0" w:color="auto"/>
        <w:left w:val="none" w:sz="0" w:space="0" w:color="auto"/>
        <w:bottom w:val="none" w:sz="0" w:space="0" w:color="auto"/>
        <w:right w:val="none" w:sz="0" w:space="0" w:color="auto"/>
      </w:divBdr>
    </w:div>
    <w:div w:id="17485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cp:revision>
  <dcterms:created xsi:type="dcterms:W3CDTF">2017-01-20T06:34:00Z</dcterms:created>
  <dcterms:modified xsi:type="dcterms:W3CDTF">2017-02-01T05:55:00Z</dcterms:modified>
</cp:coreProperties>
</file>